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4"/>
          <w:szCs w:val="32"/>
          <w:lang w:val="en-US" w:eastAsia="zh-CN"/>
        </w:rPr>
      </w:pPr>
      <w:r>
        <w:rPr>
          <w:rFonts w:hint="eastAsia"/>
          <w:sz w:val="24"/>
          <w:szCs w:val="32"/>
          <w:lang w:val="en-US" w:eastAsia="zh-CN"/>
        </w:rPr>
        <w:t>踏春寻知运河文化 科学迎战期中考试——江苏省仪征中学举行主题升旗仪式</w:t>
      </w:r>
    </w:p>
    <w:p>
      <w:pPr>
        <w:ind w:firstLine="480" w:firstLineChars="200"/>
        <w:jc w:val="left"/>
        <w:rPr>
          <w:rFonts w:hint="eastAsia"/>
          <w:sz w:val="24"/>
          <w:szCs w:val="32"/>
          <w:lang w:val="en-US" w:eastAsia="zh-CN"/>
        </w:rPr>
      </w:pPr>
    </w:p>
    <w:p>
      <w:pPr>
        <w:ind w:firstLine="480" w:firstLineChars="200"/>
        <w:jc w:val="left"/>
        <w:rPr>
          <w:rFonts w:hint="default"/>
          <w:sz w:val="24"/>
          <w:szCs w:val="32"/>
          <w:lang w:val="en-US" w:eastAsia="zh-CN"/>
        </w:rPr>
      </w:pPr>
      <w:r>
        <w:rPr>
          <w:rFonts w:hint="eastAsia"/>
          <w:sz w:val="24"/>
          <w:szCs w:val="32"/>
          <w:lang w:val="en-US" w:eastAsia="zh-CN"/>
        </w:rPr>
        <w:t>为增强研学活动的实效性，进一步巩固研学收获，也为进一步加强学生励志教育，促进学风考风建设，营造积极科学备考的良好氛围，4月17日清晨七点，江苏省仪征中学举行了期中考试动员主题升旗仪式暨2023年扬州大运河博物馆研学活动成果总结颁奖仪式。</w:t>
      </w:r>
    </w:p>
    <w:p>
      <w:pPr>
        <w:ind w:firstLine="480" w:firstLineChars="200"/>
        <w:jc w:val="left"/>
        <w:rPr>
          <w:rFonts w:hint="eastAsia"/>
          <w:sz w:val="24"/>
          <w:szCs w:val="32"/>
          <w:lang w:val="en-US" w:eastAsia="zh-CN"/>
        </w:rPr>
      </w:pPr>
      <w:r>
        <w:rPr>
          <w:rFonts w:hint="eastAsia"/>
          <w:sz w:val="24"/>
          <w:szCs w:val="32"/>
          <w:lang w:val="en-US" w:eastAsia="zh-CN"/>
        </w:rPr>
        <w:t>仪式的第一项议程，由教科室副主任修非老师对本次研学活动做总结。修主任指出：“如果人生是一场单程旅行，抵达终点之前的经历就是意义，而书与路的融合就是最美的相遇。每一次出发，都是风物文化、心灵之旅的日常写照；每一次出发，都是外看世界，内读自己的双向互动。”紧接着，她对同学们认真积极的参与给予了充分的肯定：“在千余份优秀的作品中，我们欣赏到了同学们对于传统与现代碰撞的认知、人文与科学互通的理解、凝固与流动文化的表达。也十分感谢同学们用心、用情、用智慧、用青春带来的艺术美感，相信这些足够治愈拼搏日子里的那些艰难。”最后，修主任公布了本次研学活动成果评比情况：经过年级初评、语文教研室参评，1000余份作品入选复赛单元，最终729份作品获奖。其中，高一年级：一等奖77份、二等奖73份、三等奖102份；</w:t>
      </w:r>
    </w:p>
    <w:p>
      <w:pPr>
        <w:ind w:firstLine="720" w:firstLineChars="300"/>
        <w:jc w:val="left"/>
        <w:rPr>
          <w:rFonts w:hint="eastAsia"/>
          <w:sz w:val="24"/>
          <w:szCs w:val="32"/>
          <w:lang w:val="en-US" w:eastAsia="zh-CN"/>
        </w:rPr>
      </w:pPr>
      <w:r>
        <w:rPr>
          <w:rFonts w:hint="eastAsia"/>
          <w:sz w:val="24"/>
          <w:szCs w:val="32"/>
          <w:lang w:val="en-US" w:eastAsia="zh-CN"/>
        </w:rPr>
        <w:t>高二年级：一等奖48份、二等奖55份、三等奖106份；</w:t>
      </w:r>
    </w:p>
    <w:p>
      <w:pPr>
        <w:ind w:firstLine="720" w:firstLineChars="300"/>
        <w:jc w:val="left"/>
        <w:rPr>
          <w:rFonts w:hint="eastAsia"/>
          <w:sz w:val="24"/>
          <w:szCs w:val="32"/>
          <w:lang w:val="en-US" w:eastAsia="zh-CN"/>
        </w:rPr>
      </w:pPr>
      <w:r>
        <w:rPr>
          <w:rFonts w:hint="eastAsia"/>
          <w:sz w:val="24"/>
          <w:szCs w:val="32"/>
          <w:lang w:val="en-US" w:eastAsia="zh-CN"/>
        </w:rPr>
        <w:t>高三年级：一等奖60份，二等奖86份，三等奖122份。</w:t>
      </w:r>
    </w:p>
    <w:p>
      <w:pPr>
        <w:jc w:val="left"/>
        <w:rPr>
          <w:rFonts w:hint="eastAsia"/>
          <w:sz w:val="24"/>
          <w:szCs w:val="32"/>
          <w:lang w:val="en-US" w:eastAsia="zh-CN"/>
        </w:rPr>
      </w:pPr>
      <w:r>
        <w:rPr>
          <w:rFonts w:hint="eastAsia"/>
          <w:sz w:val="24"/>
          <w:szCs w:val="32"/>
          <w:lang w:val="en-US" w:eastAsia="zh-CN"/>
        </w:rPr>
        <w:t>荣获优秀集体奖的班级有：</w:t>
      </w:r>
    </w:p>
    <w:p>
      <w:pPr>
        <w:ind w:firstLine="480" w:firstLineChars="200"/>
        <w:jc w:val="left"/>
        <w:rPr>
          <w:rFonts w:hint="eastAsia"/>
          <w:sz w:val="24"/>
          <w:szCs w:val="32"/>
          <w:lang w:val="en-US" w:eastAsia="zh-CN"/>
        </w:rPr>
      </w:pPr>
      <w:r>
        <w:rPr>
          <w:rFonts w:hint="eastAsia"/>
          <w:sz w:val="24"/>
          <w:szCs w:val="32"/>
          <w:lang w:val="en-US" w:eastAsia="zh-CN"/>
        </w:rPr>
        <w:t>高一：1班、7班、8班、9班、10班、14班、16班</w:t>
      </w:r>
    </w:p>
    <w:p>
      <w:pPr>
        <w:ind w:firstLine="480" w:firstLineChars="200"/>
        <w:jc w:val="left"/>
        <w:rPr>
          <w:rFonts w:hint="eastAsia"/>
          <w:sz w:val="24"/>
          <w:szCs w:val="32"/>
          <w:lang w:val="en-US" w:eastAsia="zh-CN"/>
        </w:rPr>
      </w:pPr>
      <w:r>
        <w:rPr>
          <w:rFonts w:hint="eastAsia"/>
          <w:sz w:val="24"/>
          <w:szCs w:val="32"/>
          <w:lang w:val="en-US" w:eastAsia="zh-CN"/>
        </w:rPr>
        <w:t>高二：2班、6班、7班、8班、13班、14班、16班</w:t>
      </w:r>
    </w:p>
    <w:p>
      <w:pPr>
        <w:ind w:firstLine="480" w:firstLineChars="200"/>
        <w:jc w:val="left"/>
        <w:rPr>
          <w:rFonts w:hint="eastAsia"/>
          <w:sz w:val="24"/>
          <w:szCs w:val="32"/>
          <w:lang w:val="en-US" w:eastAsia="zh-CN"/>
        </w:rPr>
      </w:pPr>
      <w:r>
        <w:rPr>
          <w:rFonts w:hint="eastAsia"/>
          <w:sz w:val="24"/>
          <w:szCs w:val="32"/>
          <w:lang w:val="en-US" w:eastAsia="zh-CN"/>
        </w:rPr>
        <w:t>高三：5班、6班、8班、9班、10班、13班、14班、16班</w:t>
      </w:r>
    </w:p>
    <w:p>
      <w:pPr>
        <w:jc w:val="left"/>
        <w:rPr>
          <w:rFonts w:hint="default"/>
          <w:sz w:val="24"/>
          <w:szCs w:val="32"/>
          <w:lang w:val="en-US" w:eastAsia="zh-CN"/>
        </w:rPr>
      </w:pPr>
      <w:r>
        <w:rPr>
          <w:rFonts w:hint="eastAsia"/>
          <w:sz w:val="24"/>
          <w:szCs w:val="32"/>
          <w:lang w:val="en-US" w:eastAsia="zh-CN"/>
        </w:rPr>
        <w:t>现特将部分学生优秀作品展示如下：</w:t>
      </w:r>
    </w:p>
    <w:p>
      <w:pPr>
        <w:rPr>
          <w:rFonts w:hint="eastAsia"/>
          <w:sz w:val="24"/>
          <w:szCs w:val="32"/>
          <w:lang w:val="en-US" w:eastAsia="zh-C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55245</wp:posOffset>
            </wp:positionV>
            <wp:extent cx="2782570" cy="4229735"/>
            <wp:effectExtent l="0" t="0" r="17780" b="1841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82804" cy="4229862"/>
                    </a:xfrm>
                    <a:prstGeom prst="rect">
                      <a:avLst/>
                    </a:prstGeom>
                  </pic:spPr>
                </pic:pic>
              </a:graphicData>
            </a:graphic>
          </wp:anchor>
        </w:drawing>
      </w:r>
      <w:r>
        <w:drawing>
          <wp:inline distT="0" distB="0" distL="114300" distR="114300">
            <wp:extent cx="2938145" cy="4229735"/>
            <wp:effectExtent l="0" t="0" r="14605" b="184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 cstate="print">
                      <a:extLst>
                        <a:ext uri="{28A0092B-C50C-407E-A947-70E740481C1C}">
                          <a14:useLocalDpi xmlns:a14="http://schemas.microsoft.com/office/drawing/2010/main" val="0"/>
                        </a:ext>
                      </a:extLst>
                    </a:blip>
                    <a:srcRect l="3265" t="1908" r="5035" b="1821"/>
                    <a:stretch>
                      <a:fillRect/>
                    </a:stretch>
                  </pic:blipFill>
                  <pic:spPr>
                    <a:xfrm>
                      <a:off x="0" y="0"/>
                      <a:ext cx="2938745" cy="4229862"/>
                    </a:xfrm>
                    <a:prstGeom prst="rect">
                      <a:avLst/>
                    </a:prstGeom>
                  </pic:spPr>
                </pic:pic>
              </a:graphicData>
            </a:graphic>
          </wp:inline>
        </w:drawing>
      </w:r>
      <w:r>
        <w:drawing>
          <wp:anchor distT="0" distB="0" distL="114300" distR="114300" simplePos="0" relativeHeight="251660288" behindDoc="0" locked="0" layoutInCell="1" allowOverlap="1">
            <wp:simplePos x="0" y="0"/>
            <wp:positionH relativeFrom="column">
              <wp:posOffset>0</wp:posOffset>
            </wp:positionH>
            <wp:positionV relativeFrom="paragraph">
              <wp:posOffset>64770</wp:posOffset>
            </wp:positionV>
            <wp:extent cx="2809875" cy="4223385"/>
            <wp:effectExtent l="0" t="0" r="9525" b="5715"/>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6" cstate="print">
                      <a:extLst>
                        <a:ext uri="{28A0092B-C50C-407E-A947-70E740481C1C}">
                          <a14:useLocalDpi xmlns:a14="http://schemas.microsoft.com/office/drawing/2010/main" val="0"/>
                        </a:ext>
                      </a:extLst>
                    </a:blip>
                    <a:srcRect l="3040" t="1509" r="2464" b="1883"/>
                    <a:stretch>
                      <a:fillRect/>
                    </a:stretch>
                  </pic:blipFill>
                  <pic:spPr>
                    <a:xfrm>
                      <a:off x="0" y="0"/>
                      <a:ext cx="2810465" cy="4223999"/>
                    </a:xfrm>
                    <a:prstGeom prst="rect">
                      <a:avLst/>
                    </a:prstGeom>
                  </pic:spPr>
                </pic:pic>
              </a:graphicData>
            </a:graphic>
          </wp:anchor>
        </w:drawing>
      </w:r>
      <w:r>
        <w:drawing>
          <wp:inline distT="0" distB="0" distL="114300" distR="114300">
            <wp:extent cx="3252470" cy="4159250"/>
            <wp:effectExtent l="0" t="0" r="508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extLst>
                        <a:ext uri="{28A0092B-C50C-407E-A947-70E740481C1C}">
                          <a14:useLocalDpi xmlns:a14="http://schemas.microsoft.com/office/drawing/2010/main" val="0"/>
                        </a:ext>
                      </a:extLst>
                    </a:blip>
                    <a:srcRect r="2009" b="11402"/>
                    <a:stretch>
                      <a:fillRect/>
                    </a:stretch>
                  </pic:blipFill>
                  <pic:spPr>
                    <a:xfrm>
                      <a:off x="0" y="0"/>
                      <a:ext cx="3252753" cy="4159297"/>
                    </a:xfrm>
                    <a:prstGeom prst="rect">
                      <a:avLst/>
                    </a:prstGeom>
                  </pic:spPr>
                </pic:pic>
              </a:graphicData>
            </a:graphic>
          </wp:inline>
        </w:drawing>
      </w:r>
      <w:r>
        <w:drawing>
          <wp:inline distT="0" distB="0" distL="114300" distR="114300">
            <wp:extent cx="5654040" cy="4159250"/>
            <wp:effectExtent l="0" t="0" r="381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4276" cy="4159297"/>
                    </a:xfrm>
                    <a:prstGeom prst="rect">
                      <a:avLst/>
                    </a:prstGeom>
                  </pic:spPr>
                </pic:pic>
              </a:graphicData>
            </a:graphic>
          </wp:inline>
        </w:drawing>
      </w:r>
    </w:p>
    <w:p>
      <w:pPr>
        <w:ind w:firstLine="480"/>
        <w:rPr>
          <w:rFonts w:hint="default"/>
          <w:sz w:val="24"/>
          <w:szCs w:val="32"/>
          <w:lang w:val="en-US" w:eastAsia="zh-CN"/>
        </w:rPr>
      </w:pPr>
      <w:r>
        <w:rPr>
          <w:rFonts w:hint="eastAsia"/>
          <w:sz w:val="24"/>
          <w:szCs w:val="32"/>
          <w:lang w:val="en-US" w:eastAsia="zh-CN"/>
        </w:rPr>
        <w:t>仪式的第二项议程，由教务处副主任杨震老师做期中考试动员讲话。杨主任从考试期间的复习方法、如何保持良好的心态、考试的常规技巧以及考风考纪的遵守问题等四个方面向同学们给出了自己的建议。杨主任强调，考试期间要根据考试日程，有计划地安排复习顺序和练习时间，争取在一次次的考试过程中，积累经验，汲取教训，最终提炼出适合自己的考试期间的复习方案，从而充分发挥出甚至超常发挥出自己的水平。</w:t>
      </w:r>
    </w:p>
    <w:p>
      <w:pPr>
        <w:ind w:firstLine="480"/>
        <w:rPr>
          <w:rFonts w:hint="eastAsia"/>
          <w:sz w:val="24"/>
          <w:szCs w:val="32"/>
          <w:lang w:val="en-US" w:eastAsia="zh-CN"/>
        </w:rPr>
      </w:pPr>
      <w:r>
        <w:rPr>
          <w:rFonts w:hint="eastAsia"/>
          <w:sz w:val="24"/>
          <w:szCs w:val="32"/>
          <w:lang w:val="en-US" w:eastAsia="zh-CN"/>
        </w:rPr>
        <w:t>知行合一，方能笃行致远。知是行之始，行是知之成。研学归来，新章已启。新的征程正在路上，祝愿仪中学子们都能够在即将到来的期中考试中再创辉煌，“赢”战期中！</w:t>
      </w:r>
    </w:p>
    <w:p>
      <w:pPr>
        <w:ind w:firstLine="2640" w:firstLineChars="1100"/>
        <w:rPr>
          <w:rFonts w:hint="default"/>
          <w:sz w:val="24"/>
          <w:szCs w:val="32"/>
          <w:lang w:val="en-US" w:eastAsia="zh-CN"/>
        </w:rPr>
      </w:pPr>
      <w:r>
        <w:rPr>
          <w:rFonts w:hint="eastAsia"/>
          <w:sz w:val="24"/>
          <w:szCs w:val="32"/>
          <w:lang w:val="en-US" w:eastAsia="zh-CN"/>
        </w:rPr>
        <w:t>（供稿：朱俊琦   摄像：张丹丹）</w:t>
      </w:r>
    </w:p>
    <w:p>
      <w:pPr>
        <w:rPr>
          <w:rFonts w:hint="default"/>
          <w:sz w:val="24"/>
          <w:szCs w:val="32"/>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kOTU3YzY0MjI4YTk1NzM4ZmNmMDBjNDIxNzFlM2EifQ=="/>
  </w:docVars>
  <w:rsids>
    <w:rsidRoot w:val="2500441B"/>
    <w:rsid w:val="06AB1496"/>
    <w:rsid w:val="09546236"/>
    <w:rsid w:val="2500441B"/>
    <w:rsid w:val="36DB23A0"/>
    <w:rsid w:val="37476E97"/>
    <w:rsid w:val="4BB70DDC"/>
    <w:rsid w:val="5D6B6200"/>
    <w:rsid w:val="6BD56BA6"/>
    <w:rsid w:val="6D2E2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910</Words>
  <Characters>941</Characters>
  <Lines>0</Lines>
  <Paragraphs>0</Paragraphs>
  <TotalTime>0</TotalTime>
  <ScaleCrop>false</ScaleCrop>
  <LinksUpToDate>false</LinksUpToDate>
  <CharactersWithSpaces>945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2023-04-18T11:07:00Z</dcterms:created>
  <dc:creator>麒麟小小</dc:creator>
  <cp:lastModifiedBy>Administrator</cp:lastModifiedBy>
  <dcterms:modified xsi:type="dcterms:W3CDTF">2023-04-18T22:44:51Z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A4F115772121453FABF6B2317C2A1195_13</vt:lpwstr>
  </property>
</Properties>
</file>