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宋体" w:cs="Times New Roman"/>
          <w:b/>
          <w:color w:val="000000" w:themeColor="text1"/>
          <w:sz w:val="28"/>
          <w:szCs w:val="28"/>
          <w:u w:val="none"/>
          <w14:textFill>
            <w14:solidFill>
              <w14:schemeClr w14:val="tx1"/>
            </w14:solidFill>
          </w14:textFill>
        </w:rPr>
      </w:pPr>
      <w:r>
        <w:rPr>
          <w:rFonts w:hint="eastAsia" w:ascii="宋体" w:hAnsi="宋体" w:eastAsia="宋体" w:cs="Times New Roman"/>
          <w:b/>
          <w:color w:val="000000" w:themeColor="text1"/>
          <w:sz w:val="28"/>
          <w:szCs w:val="28"/>
          <w:u w:val="none"/>
          <w14:textFill>
            <w14:solidFill>
              <w14:schemeClr w14:val="tx1"/>
            </w14:solidFill>
          </w14:textFill>
        </w:rPr>
        <w:t>江苏省仪征中学202</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3</w:t>
      </w:r>
      <w:r>
        <w:rPr>
          <w:rFonts w:hint="eastAsia" w:ascii="宋体" w:hAnsi="宋体" w:eastAsia="宋体" w:cs="Times New Roman"/>
          <w:b/>
          <w:color w:val="000000" w:themeColor="text1"/>
          <w:sz w:val="28"/>
          <w:szCs w:val="28"/>
          <w:u w:val="none"/>
          <w14:textFill>
            <w14:solidFill>
              <w14:schemeClr w14:val="tx1"/>
            </w14:solidFill>
          </w14:textFill>
        </w:rPr>
        <w:t>—202</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4</w:t>
      </w:r>
      <w:r>
        <w:rPr>
          <w:rFonts w:hint="eastAsia" w:ascii="宋体" w:hAnsi="宋体" w:eastAsia="宋体" w:cs="Times New Roman"/>
          <w:b/>
          <w:color w:val="000000" w:themeColor="text1"/>
          <w:sz w:val="28"/>
          <w:szCs w:val="28"/>
          <w:u w:val="none"/>
          <w14:textFill>
            <w14:solidFill>
              <w14:schemeClr w14:val="tx1"/>
            </w14:solidFill>
          </w14:textFill>
        </w:rPr>
        <w:t>学年度第</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一</w:t>
      </w:r>
      <w:r>
        <w:rPr>
          <w:rFonts w:hint="eastAsia" w:ascii="宋体" w:hAnsi="宋体" w:eastAsia="宋体" w:cs="Times New Roman"/>
          <w:b/>
          <w:color w:val="000000" w:themeColor="text1"/>
          <w:sz w:val="28"/>
          <w:szCs w:val="28"/>
          <w:u w:val="none"/>
          <w14:textFill>
            <w14:solidFill>
              <w14:schemeClr w14:val="tx1"/>
            </w14:solidFill>
          </w14:textFill>
        </w:rPr>
        <w:t>学期高三历史学科作业</w:t>
      </w:r>
    </w:p>
    <w:p>
      <w:pPr>
        <w:spacing w:line="320" w:lineRule="exact"/>
        <w:jc w:val="center"/>
        <w:rPr>
          <w:rFonts w:ascii="宋体" w:hAnsi="宋体" w:eastAsia="宋体" w:cs="Times New Roman"/>
          <w:b/>
          <w:color w:val="000000" w:themeColor="text1"/>
          <w:szCs w:val="21"/>
          <w:u w:val="none"/>
          <w14:textFill>
            <w14:solidFill>
              <w14:schemeClr w14:val="tx1"/>
            </w14:solidFill>
          </w14:textFill>
        </w:rPr>
      </w:pPr>
      <w:r>
        <w:rPr>
          <w:rFonts w:hint="eastAsia" w:ascii="宋体" w:hAnsi="宋体" w:eastAsia="宋体" w:cs="Times New Roman"/>
          <w:b/>
          <w:color w:val="000000" w:themeColor="text1"/>
          <w:sz w:val="28"/>
          <w:szCs w:val="28"/>
          <w:u w:val="none"/>
          <w14:textFill>
            <w14:solidFill>
              <w14:schemeClr w14:val="tx1"/>
            </w14:solidFill>
          </w14:textFill>
        </w:rPr>
        <w:t>选择题专项训练</w:t>
      </w:r>
      <w:r>
        <w:rPr>
          <w:rFonts w:hint="eastAsia" w:ascii="宋体" w:hAnsi="宋体" w:cs="Times New Roman"/>
          <w:b/>
          <w:color w:val="000000" w:themeColor="text1"/>
          <w:sz w:val="28"/>
          <w:szCs w:val="28"/>
          <w:u w:val="none"/>
          <w:lang w:val="en-US" w:eastAsia="zh-CN"/>
          <w14:textFill>
            <w14:solidFill>
              <w14:schemeClr w14:val="tx1"/>
            </w14:solidFill>
          </w14:textFill>
        </w:rPr>
        <w:t>5</w:t>
      </w:r>
      <w:r>
        <w:rPr>
          <w:rFonts w:hint="eastAsia" w:ascii="宋体" w:hAnsi="宋体" w:eastAsia="宋体" w:cs="Times New Roman"/>
          <w:b/>
          <w:color w:val="000000" w:themeColor="text1"/>
          <w:sz w:val="28"/>
          <w:szCs w:val="28"/>
          <w:u w:val="none"/>
          <w14:textFill>
            <w14:solidFill>
              <w14:schemeClr w14:val="tx1"/>
            </w14:solidFill>
          </w14:textFill>
        </w:rPr>
        <w:t>（</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中国</w:t>
      </w:r>
      <w:r>
        <w:rPr>
          <w:rFonts w:hint="eastAsia" w:ascii="宋体" w:hAnsi="宋体" w:cs="Times New Roman"/>
          <w:b/>
          <w:color w:val="000000" w:themeColor="text1"/>
          <w:sz w:val="28"/>
          <w:szCs w:val="28"/>
          <w:u w:val="none"/>
          <w:lang w:val="en-US" w:eastAsia="zh-CN"/>
          <w14:textFill>
            <w14:solidFill>
              <w14:schemeClr w14:val="tx1"/>
            </w14:solidFill>
          </w14:textFill>
        </w:rPr>
        <w:t>古代史5</w:t>
      </w:r>
      <w:r>
        <w:rPr>
          <w:rFonts w:hint="eastAsia" w:ascii="宋体" w:hAnsi="宋体" w:eastAsia="宋体" w:cs="Times New Roman"/>
          <w:b/>
          <w:color w:val="000000" w:themeColor="text1"/>
          <w:sz w:val="28"/>
          <w:szCs w:val="28"/>
          <w:u w:val="none"/>
          <w14:textFill>
            <w14:solidFill>
              <w14:schemeClr w14:val="tx1"/>
            </w14:solidFill>
          </w14:textFill>
        </w:rPr>
        <w:t>）</w:t>
      </w:r>
    </w:p>
    <w:p>
      <w:pPr>
        <w:spacing w:line="320" w:lineRule="exact"/>
        <w:jc w:val="center"/>
        <w:rPr>
          <w:rFonts w:hint="default" w:ascii="宋体" w:hAnsi="宋体" w:eastAsia="宋体" w:cs="楷体"/>
          <w:bCs/>
          <w:color w:val="000000" w:themeColor="text1"/>
          <w:sz w:val="24"/>
          <w:u w:val="none"/>
          <w:lang w:val="en-US" w:eastAsia="zh-CN"/>
          <w14:textFill>
            <w14:solidFill>
              <w14:schemeClr w14:val="tx1"/>
            </w14:solidFill>
          </w14:textFill>
        </w:rPr>
      </w:pPr>
      <w:r>
        <w:rPr>
          <w:rFonts w:hint="eastAsia" w:ascii="宋体" w:hAnsi="宋体" w:eastAsia="宋体" w:cs="楷体"/>
          <w:bCs/>
          <w:color w:val="000000" w:themeColor="text1"/>
          <w:sz w:val="24"/>
          <w:u w:val="none"/>
          <w14:textFill>
            <w14:solidFill>
              <w14:schemeClr w14:val="tx1"/>
            </w14:solidFill>
          </w14:textFill>
        </w:rPr>
        <w:t>研制人：</w:t>
      </w:r>
      <w:r>
        <w:rPr>
          <w:rFonts w:hint="eastAsia" w:ascii="宋体" w:hAnsi="宋体" w:cs="楷体"/>
          <w:bCs/>
          <w:color w:val="000000" w:themeColor="text1"/>
          <w:sz w:val="24"/>
          <w:u w:val="none"/>
          <w:lang w:val="en-US" w:eastAsia="zh-CN"/>
          <w14:textFill>
            <w14:solidFill>
              <w14:schemeClr w14:val="tx1"/>
            </w14:solidFill>
          </w14:textFill>
        </w:rPr>
        <w:t>吴荧</w:t>
      </w:r>
      <w:r>
        <w:rPr>
          <w:rFonts w:hint="eastAsia" w:ascii="宋体" w:hAnsi="宋体" w:eastAsia="宋体" w:cs="楷体"/>
          <w:bCs/>
          <w:color w:val="000000" w:themeColor="text1"/>
          <w:sz w:val="24"/>
          <w:u w:val="none"/>
          <w14:textFill>
            <w14:solidFill>
              <w14:schemeClr w14:val="tx1"/>
            </w14:solidFill>
          </w14:textFill>
        </w:rPr>
        <w:t xml:space="preserve">  </w:t>
      </w:r>
      <w:r>
        <w:rPr>
          <w:rFonts w:ascii="宋体" w:hAnsi="宋体" w:eastAsia="宋体" w:cs="楷体"/>
          <w:bCs/>
          <w:color w:val="000000" w:themeColor="text1"/>
          <w:sz w:val="24"/>
          <w:u w:val="none"/>
          <w14:textFill>
            <w14:solidFill>
              <w14:schemeClr w14:val="tx1"/>
            </w14:solidFill>
          </w14:textFill>
        </w:rPr>
        <w:t xml:space="preserve">                    </w:t>
      </w:r>
      <w:r>
        <w:rPr>
          <w:rFonts w:hint="eastAsia" w:ascii="宋体" w:hAnsi="宋体" w:eastAsia="宋体" w:cs="楷体"/>
          <w:bCs/>
          <w:color w:val="000000" w:themeColor="text1"/>
          <w:sz w:val="24"/>
          <w:u w:val="none"/>
          <w14:textFill>
            <w14:solidFill>
              <w14:schemeClr w14:val="tx1"/>
            </w14:solidFill>
          </w14:textFill>
        </w:rPr>
        <w:t xml:space="preserve">   审核人：</w:t>
      </w:r>
      <w:r>
        <w:rPr>
          <w:rFonts w:hint="eastAsia" w:ascii="宋体" w:hAnsi="宋体" w:cs="楷体"/>
          <w:bCs/>
          <w:color w:val="000000" w:themeColor="text1"/>
          <w:sz w:val="24"/>
          <w:u w:val="none"/>
          <w:lang w:val="en-US" w:eastAsia="zh-CN"/>
          <w14:textFill>
            <w14:solidFill>
              <w14:schemeClr w14:val="tx1"/>
            </w14:solidFill>
          </w14:textFill>
        </w:rPr>
        <w:t>刘明森</w:t>
      </w:r>
    </w:p>
    <w:p>
      <w:pPr>
        <w:spacing w:line="280" w:lineRule="exact"/>
        <w:jc w:val="center"/>
        <w:textAlignment w:val="center"/>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eastAsia="宋体" w:cs="楷体"/>
          <w:bCs/>
          <w:color w:val="000000" w:themeColor="text1"/>
          <w:sz w:val="24"/>
          <w:u w:val="none"/>
          <w14:textFill>
            <w14:solidFill>
              <w14:schemeClr w14:val="tx1"/>
            </w14:solidFill>
          </w14:textFill>
        </w:rPr>
        <w:t>班级：________姓名：________学号：________日期：</w:t>
      </w:r>
      <w:r>
        <w:rPr>
          <w:rFonts w:hint="eastAsia" w:ascii="宋体" w:hAnsi="宋体" w:eastAsia="宋体" w:cs="楷体"/>
          <w:bCs/>
          <w:color w:val="000000" w:themeColor="text1"/>
          <w:sz w:val="24"/>
          <w:u w:val="none"/>
          <w:lang w:val="en-US" w:eastAsia="zh-CN"/>
          <w14:textFill>
            <w14:solidFill>
              <w14:schemeClr w14:val="tx1"/>
            </w14:solidFill>
          </w14:textFill>
        </w:rPr>
        <w:t>___________</w:t>
      </w:r>
      <w:r>
        <w:rPr>
          <w:rFonts w:hint="eastAsia" w:ascii="宋体" w:hAnsi="宋体" w:eastAsia="宋体" w:cs="楷体"/>
          <w:bCs/>
          <w:color w:val="000000" w:themeColor="text1"/>
          <w:sz w:val="24"/>
          <w:u w:val="none"/>
          <w14:textFill>
            <w14:solidFill>
              <w14:schemeClr w14:val="tx1"/>
            </w14:solidFill>
          </w14:textFill>
        </w:rPr>
        <w:t>作业时长：</w:t>
      </w:r>
      <w:r>
        <w:rPr>
          <w:rFonts w:hint="eastAsia" w:ascii="宋体" w:hAnsi="宋体" w:cs="楷体"/>
          <w:bCs/>
          <w:color w:val="000000" w:themeColor="text1"/>
          <w:sz w:val="24"/>
          <w:u w:val="single"/>
          <w:lang w:val="en-US" w:eastAsia="zh-CN"/>
          <w14:textFill>
            <w14:solidFill>
              <w14:schemeClr w14:val="tx1"/>
            </w14:solidFill>
          </w14:textFill>
        </w:rPr>
        <w:t xml:space="preserve"> </w:t>
      </w:r>
      <w:r>
        <w:rPr>
          <w:rFonts w:hint="eastAsia" w:ascii="宋体" w:hAnsi="宋体" w:eastAsia="宋体" w:cs="楷体"/>
          <w:bCs/>
          <w:color w:val="000000" w:themeColor="text1"/>
          <w:sz w:val="24"/>
          <w:u w:val="single"/>
          <w:lang w:val="en-US" w:eastAsia="zh-CN"/>
          <w14:textFill>
            <w14:solidFill>
              <w14:schemeClr w14:val="tx1"/>
            </w14:solidFill>
          </w14:textFill>
        </w:rPr>
        <w:t>20分钟</w:t>
      </w:r>
    </w:p>
    <w:p>
      <w:pPr>
        <w:keepNext w:val="0"/>
        <w:keepLines w:val="0"/>
        <w:pageBreakBefore w:val="0"/>
        <w:widowControl w:val="0"/>
        <w:kinsoku/>
        <w:wordWrap/>
        <w:overflowPunct/>
        <w:topLinePunct w:val="0"/>
        <w:autoSpaceDE/>
        <w:bidi w:val="0"/>
        <w:adjustRightInd/>
        <w:snapToGrid/>
        <w:spacing w:line="240" w:lineRule="auto"/>
        <w:ind w:firstLine="0" w:firstLineChars="0"/>
        <w:textAlignment w:val="auto"/>
        <w:rPr>
          <w:rFonts w:hint="eastAsia" w:asciiTheme="minorEastAsia" w:hAnsiTheme="minorEastAsia" w:eastAsiaTheme="minorEastAsia" w:cstheme="minorEastAsia"/>
          <w:sz w:val="21"/>
          <w:szCs w:val="21"/>
          <w:u w:val="none"/>
          <w:lang w:val="en-US" w:eastAsia="zh-CN"/>
        </w:rPr>
      </w:pP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康叔是“周武王同母少弟”。被周公分封于卫。卫国原是殷商旧地，周公嘱咐康叔尊重殷商的传统，任用“殷之贤人君子长者”。康叔受封时不仅带去了大量周族人，还随迁了殷民七族，殷民宗族首领也在卫国任职。这反映出西周分封</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导致王权的逐渐衰微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实现国家对地方的垂直管理</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挑战了宗法贵族体系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有利于族群认同意识的形成</w:t>
      </w: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drawing>
          <wp:anchor distT="0" distB="0" distL="0" distR="0" simplePos="0" relativeHeight="251660288" behindDoc="0" locked="0" layoutInCell="1" allowOverlap="1">
            <wp:simplePos x="0" y="0"/>
            <wp:positionH relativeFrom="column">
              <wp:posOffset>4431665</wp:posOffset>
            </wp:positionH>
            <wp:positionV relativeFrom="paragraph">
              <wp:posOffset>449580</wp:posOffset>
            </wp:positionV>
            <wp:extent cx="1107440" cy="1123315"/>
            <wp:effectExtent l="0" t="0" r="16510" b="635"/>
            <wp:wrapSquare wrapText="bothSides"/>
            <wp:docPr id="11" name="../Upload/image/20230315113749636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pload/image/202303151137496367471.png"/>
                    <pic:cNvPicPr>
                      <a:picLocks noChangeAspect="1" noChangeArrowheads="1"/>
                    </pic:cNvPicPr>
                  </pic:nvPicPr>
                  <pic:blipFill>
                    <a:blip r:embed="rId4"/>
                    <a:srcRect/>
                    <a:stretch>
                      <a:fillRect/>
                    </a:stretch>
                  </pic:blipFill>
                  <pic:spPr>
                    <a:xfrm>
                      <a:off x="0" y="0"/>
                      <a:ext cx="1107440" cy="1123315"/>
                    </a:xfrm>
                    <a:prstGeom prst="rect">
                      <a:avLst/>
                    </a:prstGeom>
                  </pic:spPr>
                </pic:pic>
              </a:graphicData>
            </a:graphic>
          </wp:anchor>
        </w:drawing>
      </w:r>
      <w:r>
        <w:rPr>
          <w:rFonts w:hint="eastAsia" w:asciiTheme="minorEastAsia" w:hAnsiTheme="minorEastAsia" w:eastAsiaTheme="minorEastAsia" w:cstheme="minorEastAsia"/>
          <w:sz w:val="21"/>
          <w:szCs w:val="21"/>
          <w:u w:val="none"/>
        </w:rPr>
        <w:t>2．下图为侯马盟书中的一片。侯马盟书是春秋晚期晋国世卿赵鞅同卿大夫间举行盟誓时用毛笔写在玉片上的约信文书，既包括加强宗族内部团结以打击敌对势力的内容，也有其他卿大夫宣誓效忠赵氏的誓约等。该盟书反映东周时期的政治现象是</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文明精粹，铁制工具广泛使用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礼崩乐坏，卿大夫专权夺利</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文化繁盛，甲骨文已相当成熟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诸侯争霸，诸侯国数目减少</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3．《云梦县睡虎地秦简》内容十分丰富，其中在保存粮食方面的律令规定：仓房门扇不紧密，谷物能从里面漏出，成例均应罚缴一副铠甲；仓库出现老鼠洞，要按照鼠洞的数目进行惩罚，如有鼠洞三个以上应罚一盾。这表明秦律</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条文过于细致繁复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为后世粮食储备安全提供经验</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加强君主专制统治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过于严苛最终导致了政权灭亡</w:t>
      </w: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4．汉初在东部地区分封同姓王国，而在西部则实行中央直接管辖的郡县体制（如</w:t>
      </w:r>
      <w:r>
        <w:rPr>
          <w:rFonts w:hint="eastAsia" w:asciiTheme="minorEastAsia" w:hAnsiTheme="minorEastAsia" w:eastAsiaTheme="minorEastAsia" w:cstheme="minorEastAsia"/>
          <w:sz w:val="21"/>
          <w:szCs w:val="21"/>
          <w:u w:val="none"/>
          <w:lang w:val="en-US" w:eastAsia="zh-CN"/>
        </w:rPr>
        <w:t>下</w:t>
      </w:r>
      <w:r>
        <w:rPr>
          <w:rFonts w:hint="eastAsia" w:asciiTheme="minorEastAsia" w:hAnsiTheme="minorEastAsia" w:eastAsiaTheme="minorEastAsia" w:cstheme="minorEastAsia"/>
          <w:sz w:val="21"/>
          <w:szCs w:val="21"/>
          <w:u w:val="none"/>
        </w:rPr>
        <w:t>图）。</w:t>
      </w:r>
      <w:r>
        <w:rPr>
          <w:rFonts w:hint="eastAsia" w:asciiTheme="minorEastAsia" w:hAnsiTheme="minorEastAsia" w:eastAsiaTheme="minorEastAsia" w:cstheme="minorEastAsia"/>
          <w:sz w:val="21"/>
          <w:szCs w:val="21"/>
          <w:u w:val="none"/>
          <w:lang w:val="en-US" w:eastAsia="zh-CN"/>
        </w:rPr>
        <w:t>此</w:t>
      </w:r>
      <w:r>
        <w:rPr>
          <w:rFonts w:hint="eastAsia" w:asciiTheme="minorEastAsia" w:hAnsiTheme="minorEastAsia" w:eastAsiaTheme="minorEastAsia" w:cstheme="minorEastAsia"/>
          <w:sz w:val="21"/>
          <w:szCs w:val="21"/>
          <w:u w:val="none"/>
        </w:rPr>
        <w:t>治理方式</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drawing>
          <wp:anchor distT="0" distB="0" distL="0" distR="0" simplePos="0" relativeHeight="251659264" behindDoc="0" locked="0" layoutInCell="1" allowOverlap="1">
            <wp:simplePos x="0" y="0"/>
            <wp:positionH relativeFrom="column">
              <wp:posOffset>3890010</wp:posOffset>
            </wp:positionH>
            <wp:positionV relativeFrom="paragraph">
              <wp:posOffset>40640</wp:posOffset>
            </wp:positionV>
            <wp:extent cx="2190750" cy="2074545"/>
            <wp:effectExtent l="0" t="0" r="0" b="1905"/>
            <wp:wrapSquare wrapText="bothSides"/>
            <wp:docPr id="12" name="../Upload/image/202210031153118162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pload/image/202210031153118162571.png"/>
                    <pic:cNvPicPr>
                      <a:picLocks noChangeAspect="1" noChangeArrowheads="1"/>
                    </pic:cNvPicPr>
                  </pic:nvPicPr>
                  <pic:blipFill>
                    <a:blip r:embed="rId5"/>
                    <a:srcRect/>
                    <a:stretch>
                      <a:fillRect/>
                    </a:stretch>
                  </pic:blipFill>
                  <pic:spPr>
                    <a:xfrm>
                      <a:off x="0" y="0"/>
                      <a:ext cx="2190750" cy="2074545"/>
                    </a:xfrm>
                    <a:prstGeom prst="rect">
                      <a:avLst/>
                    </a:prstGeom>
                  </pic:spPr>
                </pic:pic>
              </a:graphicData>
            </a:graphic>
          </wp:anchor>
        </w:drawing>
      </w: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取决于儒学的主流意识形态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pacing w:val="25"/>
          <w:sz w:val="21"/>
          <w:szCs w:val="21"/>
          <w:u w:val="none"/>
        </w:rPr>
        <w:t>B．</w:t>
      </w:r>
      <w:r>
        <w:rPr>
          <w:rFonts w:hint="eastAsia" w:asciiTheme="minorEastAsia" w:hAnsiTheme="minorEastAsia" w:eastAsiaTheme="minorEastAsia" w:cstheme="minorEastAsia"/>
          <w:b w:val="0"/>
          <w:bCs w:val="0"/>
          <w:sz w:val="21"/>
          <w:szCs w:val="21"/>
          <w:u w:val="none"/>
        </w:rPr>
        <w:t>遵循了因地制宜的治理原则</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消除了西汉王朝的统治隐患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有效削弱了地方诸侯国势力</w:t>
      </w: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5．《丧服》本属于《仪礼》中的一篇，东晋时成为显学，南迁士族依丧服就可以辨识门第品流和血缘亲疏。他们还对朝廷的礼乐、舆服、仪注等所谓“衣冠文物”极为重视。当时的大诗人孙绰曾说“由礼则雅，不由礼则夷”。这一现象源于</w:t>
      </w:r>
    </w:p>
    <w:p>
      <w:pPr>
        <w:pStyle w:val="5"/>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儒学受到佛道挑战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南北方文化的交流与融合</w:t>
      </w:r>
    </w:p>
    <w:p>
      <w:pPr>
        <w:pStyle w:val="5"/>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门阀士族日益衰落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东晋维护正统的文化需要</w:t>
      </w: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bookmarkStart w:id="0" w:name="_GoBack"/>
      <w:r>
        <w:rPr>
          <w:rFonts w:hint="eastAsia" w:asciiTheme="minorEastAsia" w:hAnsiTheme="minorEastAsia" w:eastAsiaTheme="minorEastAsia" w:cstheme="minorEastAsia"/>
          <w:sz w:val="21"/>
          <w:szCs w:val="21"/>
          <w:u w:val="none"/>
        </w:rPr>
        <w:drawing>
          <wp:anchor distT="0" distB="0" distL="0" distR="0" simplePos="0" relativeHeight="251661312" behindDoc="0" locked="0" layoutInCell="1" allowOverlap="1">
            <wp:simplePos x="0" y="0"/>
            <wp:positionH relativeFrom="column">
              <wp:posOffset>3879850</wp:posOffset>
            </wp:positionH>
            <wp:positionV relativeFrom="paragraph">
              <wp:posOffset>109220</wp:posOffset>
            </wp:positionV>
            <wp:extent cx="2185670" cy="2000885"/>
            <wp:effectExtent l="0" t="0" r="5080" b="18415"/>
            <wp:wrapSquare wrapText="bothSides"/>
            <wp:docPr id="13" name="../Upload/image/202303311204476316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pload/image/202303311204476316521.png"/>
                    <pic:cNvPicPr>
                      <a:picLocks noChangeAspect="1" noChangeArrowheads="1"/>
                    </pic:cNvPicPr>
                  </pic:nvPicPr>
                  <pic:blipFill>
                    <a:blip r:embed="rId6"/>
                    <a:srcRect/>
                    <a:stretch>
                      <a:fillRect/>
                    </a:stretch>
                  </pic:blipFill>
                  <pic:spPr>
                    <a:xfrm>
                      <a:off x="0" y="0"/>
                      <a:ext cx="2185670" cy="2000885"/>
                    </a:xfrm>
                    <a:prstGeom prst="rect">
                      <a:avLst/>
                    </a:prstGeom>
                  </pic:spPr>
                </pic:pic>
              </a:graphicData>
            </a:graphic>
          </wp:anchor>
        </w:drawing>
      </w:r>
      <w:bookmarkEnd w:id="0"/>
      <w:r>
        <w:rPr>
          <w:rFonts w:hint="eastAsia" w:asciiTheme="minorEastAsia" w:hAnsiTheme="minorEastAsia" w:eastAsiaTheme="minorEastAsia" w:cstheme="minorEastAsia"/>
          <w:sz w:val="21"/>
          <w:szCs w:val="21"/>
          <w:u w:val="none"/>
        </w:rPr>
        <w:t>6．</w:t>
      </w:r>
      <w:r>
        <w:rPr>
          <w:rFonts w:hint="eastAsia" w:asciiTheme="minorEastAsia" w:hAnsiTheme="minorEastAsia" w:eastAsiaTheme="minorEastAsia" w:cstheme="minorEastAsia"/>
          <w:sz w:val="21"/>
          <w:szCs w:val="21"/>
          <w:u w:val="none"/>
          <w:lang w:val="en-US" w:eastAsia="zh-CN"/>
        </w:rPr>
        <w:t>右图</w:t>
      </w:r>
      <w:r>
        <w:rPr>
          <w:rFonts w:hint="eastAsia" w:asciiTheme="minorEastAsia" w:hAnsiTheme="minorEastAsia" w:eastAsiaTheme="minorEastAsia" w:cstheme="minorEastAsia"/>
          <w:sz w:val="21"/>
          <w:szCs w:val="21"/>
          <w:u w:val="none"/>
        </w:rPr>
        <w:t>显示的是隋唐间户数变化情况。对图文信息解读准确的是</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大运河开通推动城市网络联结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经济重心最终转移到南方地区</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安史之乱导致了江南人口激增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两税法造成户籍统计数据失真</w:t>
      </w:r>
    </w:p>
    <w:p>
      <w:pPr>
        <w:pStyle w:val="4"/>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7．唐初的租庸调制以均田制为基础，即使农民分配到的实际土地没有达到法定授田标准，每丁每年也要纳定额的租调。唐中期实行两税法，依户等纳钱，依地亩纳粟，但丁额不废（以便临时差发力役）由此可见，这一改革使</w:t>
      </w:r>
    </w:p>
    <w:p>
      <w:pPr>
        <w:pStyle w:val="5"/>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赋税原则由税产变税丁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白银开始成为税收支付手段</w:t>
      </w:r>
    </w:p>
    <w:p>
      <w:pPr>
        <w:pStyle w:val="5"/>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百姓税赋负担相对公平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政府放松了对户籍制度管理</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drawing>
          <wp:anchor distT="0" distB="0" distL="0" distR="0" simplePos="0" relativeHeight="251662336" behindDoc="0" locked="0" layoutInCell="1" allowOverlap="1">
            <wp:simplePos x="0" y="0"/>
            <wp:positionH relativeFrom="column">
              <wp:posOffset>3098165</wp:posOffset>
            </wp:positionH>
            <wp:positionV relativeFrom="paragraph">
              <wp:posOffset>144780</wp:posOffset>
            </wp:positionV>
            <wp:extent cx="3139440" cy="1889760"/>
            <wp:effectExtent l="0" t="0" r="3810" b="15240"/>
            <wp:wrapSquare wrapText="bothSides"/>
            <wp:docPr id="14" name="../Upload/image/202303040841137093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pload/image/202303040841137093341.png"/>
                    <pic:cNvPicPr>
                      <a:picLocks noChangeAspect="1" noChangeArrowheads="1"/>
                    </pic:cNvPicPr>
                  </pic:nvPicPr>
                  <pic:blipFill>
                    <a:blip r:embed="rId7"/>
                    <a:srcRect/>
                    <a:stretch>
                      <a:fillRect/>
                    </a:stretch>
                  </pic:blipFill>
                  <pic:spPr>
                    <a:xfrm>
                      <a:off x="0" y="0"/>
                      <a:ext cx="3139440" cy="1889760"/>
                    </a:xfrm>
                    <a:prstGeom prst="rect">
                      <a:avLst/>
                    </a:prstGeom>
                  </pic:spPr>
                </pic:pic>
              </a:graphicData>
            </a:graphic>
          </wp:anchor>
        </w:drawing>
      </w:r>
      <w:r>
        <w:rPr>
          <w:rFonts w:hint="eastAsia" w:asciiTheme="minorEastAsia" w:hAnsiTheme="minorEastAsia" w:eastAsiaTheme="minorEastAsia" w:cstheme="minorEastAsia"/>
          <w:sz w:val="21"/>
          <w:szCs w:val="21"/>
          <w:u w:val="none"/>
        </w:rPr>
        <w:t>8．读图1、图2：图1、图2可用于说明，当时</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中日两国都实行中央集权制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唐王朝注重传播中华优秀文化</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日本的建筑技术源自于中国         </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唐文化对周边国家具有吸引力</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9．1069年，宋神宗任命王安石为参知政事进行变法革新。次年，司马光借给宋神宗讲解《资治通鉴》的机会，特意表彰“萧规曹随”的典故，并宣扬“道者万世无弊”的理念。这表明朝廷</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推崇儒家治国理念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强化权力的制衡</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对改革未形成共识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重视前朝的经验</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10．《辽史》载，长城以南，多雨多暑，其人耕稼以食，桑麻以衣，宫室以居，城郭以治；大漠之间，多寒多风，畜牧败渔以食，皮毛以衣，转徙随时，车马为家。此天时地利所以限南北也。这可用来说明</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农耕文明与游牧文明对立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契丹族推行汉化根本原因</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地理环境决定了文明程度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辽朝实行因俗而治的必要性</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11．宋朝时，最负盛名的名优特产要数遂州的冰糖，黄田的荔枝和苏州的丝绸。这些名优特产销路好，市场广阔。福建的荔枝，在开花季节便被商家交付定金买断，成熟之后再全部运走销往日本等国。这反映出宋代</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沿海工商业市镇的大量兴起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传统自然经济结构有所松动</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农业生产出现自由雇佣劳动         </w:t>
      </w:r>
      <w:r>
        <w:rPr>
          <w:rFonts w:hint="eastAsia" w:asciiTheme="minorEastAsia" w:hAnsiTheme="minorEastAsia" w:eastAsiaTheme="minorEastAsia" w:cstheme="minorEastAsia"/>
          <w:spacing w:val="30"/>
          <w:sz w:val="21"/>
          <w:szCs w:val="21"/>
          <w:u w:val="none"/>
        </w:rPr>
        <w:t>D．</w:t>
      </w:r>
      <w:r>
        <w:rPr>
          <w:rFonts w:hint="eastAsia" w:asciiTheme="minorEastAsia" w:hAnsiTheme="minorEastAsia" w:eastAsiaTheme="minorEastAsia" w:cstheme="minorEastAsia"/>
          <w:sz w:val="21"/>
          <w:szCs w:val="21"/>
          <w:u w:val="none"/>
        </w:rPr>
        <w:t>“海上丝绸之路”达到顶峰</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12．宋朝通过政策倾斜，对偏远地区的士子给予特殊照顾，布衣出身的进士比重大为增加。理宗宝祐四年（1256年）录取的601名进士中，有417人出身布衣。这说明宋朝科举制度</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加速阶层流动扩大统治基础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扶植布衣士子打击门阀氏族</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提升官员素质加强中央集权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改进选官方式实现公平公正</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13．宋代画院如同学校，开设《说文》《尔雅》《释名》等文字音训课程，以加强画家的文化修养。画院的考试常以古诗句为题，如“踏花归去马蹄香”“竹锁桥边卖酒家”“蝴蝶梦中家万里”等，倡导绘画应表达深邃的意境。由此可见，宋代的画院</w:t>
      </w:r>
    </w:p>
    <w:p>
      <w:pPr>
        <w:pStyle w:val="5"/>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有利于文人画的发展</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关注市井风俗画的创作</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重视绘画理论的研究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推动了绘画技法的规范</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14．明朝成化、弘治年间官员“多由侍郎升尚书入阁。若先升尚书，则无入阁之命”。正德年间，吏部尚书焦芳入阁，但他想继续兼任吏部尚书之职，大学士李东阳等人都指出此事破坏国家政体，“为芳忠告，于是芳乃恳辞”。这一现象主要反映出当时</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内阁和六部之间相互牵制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官员不能兼职内阁和六部</w:t>
      </w:r>
    </w:p>
    <w:p>
      <w:pPr>
        <w:pStyle w:val="5"/>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六部成为内阁的下属机构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内阁大学士权力不断扩大</w:t>
      </w:r>
    </w:p>
    <w:p>
      <w:pPr>
        <w:pStyle w:val="4"/>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15．明清之际，有识之士对中国文化进行了深刻的反思。但在清代康、雍之后，少有人能达到之前的水准。中国只剩下一个依靠习惯反射神经维持的躯体，却没有主导神经中枢的思维能力。造成这一现象的主要原因是</w:t>
      </w:r>
    </w:p>
    <w:p>
      <w:pPr>
        <w:pStyle w:val="5"/>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军机处设立与完善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人地矛盾逐渐加深</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清王朝皇帝勤于政事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思想领域专制强化</w:t>
      </w:r>
    </w:p>
    <w:p>
      <w:pPr>
        <w:pStyle w:val="5"/>
        <w:keepNext w:val="0"/>
        <w:keepLines w:val="0"/>
        <w:pageBreakBefore w:val="0"/>
        <w:widowControl w:val="0"/>
        <w:kinsoku/>
        <w:wordWrap/>
        <w:overflowPunct/>
        <w:topLinePunct w:val="0"/>
        <w:autoSpaceDE/>
        <w:autoSpaceDN w:val="0"/>
        <w:bidi w:val="0"/>
        <w:adjustRightInd/>
        <w:snapToGrid/>
        <w:spacing w:line="240" w:lineRule="auto"/>
        <w:ind w:firstLine="0" w:firstLineChars="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16．据史料记载，清初的广州“凡矶围堤岸，皆种荔枝、龙眼，或有弃稻田以种者。田每亩，荔枝可二十本，龙眼倍之”……与其他珍奇特产，大量输往外地。出现这一现象的主要原因是</w:t>
      </w:r>
    </w:p>
    <w:p>
      <w:pPr>
        <w:pStyle w:val="5"/>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小农经济已经瓦解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农业技术取得突破</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重农抑商政策松动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商品经济日益发展</w:t>
      </w:r>
    </w:p>
    <w:p>
      <w:pPr>
        <w:pStyle w:val="5"/>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Theme="minorEastAsia" w:hAnsiTheme="minorEastAsia" w:eastAsiaTheme="minorEastAsia" w:cstheme="minorEastAsia"/>
          <w:sz w:val="21"/>
          <w:szCs w:val="21"/>
          <w:u w:val="none"/>
          <w:lang w:val="en-US" w:eastAsia="zh-CN"/>
        </w:rPr>
      </w:pPr>
    </w:p>
    <w:p>
      <w:pPr>
        <w:pStyle w:val="5"/>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Theme="minorEastAsia" w:hAnsiTheme="minorEastAsia" w:eastAsiaTheme="minorEastAsia" w:cstheme="minorEastAsia"/>
          <w:sz w:val="21"/>
          <w:szCs w:val="21"/>
          <w:u w:val="none"/>
          <w:lang w:val="en-US" w:eastAsia="zh-CN"/>
        </w:rPr>
      </w:pPr>
    </w:p>
    <w:p>
      <w:pPr>
        <w:pStyle w:val="5"/>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Theme="minorEastAsia" w:hAnsiTheme="minorEastAsia" w:eastAsiaTheme="minorEastAsia" w:cstheme="minorEastAsia"/>
          <w:sz w:val="21"/>
          <w:szCs w:val="21"/>
          <w:u w:val="none"/>
          <w:lang w:val="en-US" w:eastAsia="zh-CN"/>
        </w:rPr>
      </w:pPr>
    </w:p>
    <w:p>
      <w:pPr>
        <w:pStyle w:val="5"/>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Theme="minorEastAsia" w:hAnsiTheme="minorEastAsia" w:eastAsiaTheme="minorEastAsia" w:cstheme="minorEastAsia"/>
          <w:sz w:val="21"/>
          <w:szCs w:val="21"/>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GZiNWZhYzY4Mzc1MjViYmQzMWQ5ZWRiODdlY2UifQ=="/>
  </w:docVars>
  <w:rsids>
    <w:rsidRoot w:val="017C3C63"/>
    <w:rsid w:val="017C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试卷-单选题-试题-题目"/>
    <w:basedOn w:val="1"/>
    <w:qFormat/>
    <w:uiPriority w:val="0"/>
    <w:pPr>
      <w:spacing w:line="360" w:lineRule="auto"/>
      <w:jc w:val="left"/>
    </w:pPr>
  </w:style>
  <w:style w:type="paragraph" w:customStyle="1" w:styleId="5">
    <w:name w:val="试卷-单选题-试题-答案"/>
    <w:basedOn w:val="1"/>
    <w:qFormat/>
    <w:uiPriority w:val="0"/>
    <w:pPr>
      <w:spacing w:line="36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2023-09-14T07:14:00Z</dcterms:created>
  <dc:creator>萧暮予</dc:creator>
  <cp:lastModifiedBy>萧暮予</cp:lastModifiedBy>
  <dcterms:modified xsi:type="dcterms:W3CDTF">2023-09-14T07:14:33Z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A702F4BCFBAA4C21ABB26E33D954188A_11</vt:lpwstr>
  </property>
</Properties>
</file>