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Times New Roman"/>
          <w:b/>
          <w:color w:val="000000" w:themeColor="text1"/>
          <w:sz w:val="28"/>
          <w:szCs w:val="28"/>
          <w:u w:val="none"/>
          <w14:textFill>
            <w14:solidFill>
              <w14:schemeClr w14:val="tx1"/>
            </w14:solidFill>
          </w14:textFill>
        </w:rPr>
      </w:pPr>
      <w:r>
        <w:rPr>
          <w:rFonts w:hint="eastAsia" w:ascii="宋体" w:hAnsi="宋体" w:eastAsia="宋体" w:cs="Times New Roman"/>
          <w:b/>
          <w:color w:val="000000" w:themeColor="text1"/>
          <w:sz w:val="28"/>
          <w:szCs w:val="28"/>
          <w:u w:val="none"/>
          <w14:textFill>
            <w14:solidFill>
              <w14:schemeClr w14:val="tx1"/>
            </w14:solidFill>
          </w14:textFill>
        </w:rPr>
        <w:t>江苏省仪征中学202</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3</w:t>
      </w:r>
      <w:r>
        <w:rPr>
          <w:rFonts w:hint="eastAsia" w:ascii="宋体" w:hAnsi="宋体" w:eastAsia="宋体" w:cs="Times New Roman"/>
          <w:b/>
          <w:color w:val="000000" w:themeColor="text1"/>
          <w:sz w:val="28"/>
          <w:szCs w:val="28"/>
          <w:u w:val="none"/>
          <w14:textFill>
            <w14:solidFill>
              <w14:schemeClr w14:val="tx1"/>
            </w14:solidFill>
          </w14:textFill>
        </w:rPr>
        <w:t>—202</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4</w:t>
      </w:r>
      <w:r>
        <w:rPr>
          <w:rFonts w:hint="eastAsia" w:ascii="宋体" w:hAnsi="宋体" w:eastAsia="宋体" w:cs="Times New Roman"/>
          <w:b/>
          <w:color w:val="000000" w:themeColor="text1"/>
          <w:sz w:val="28"/>
          <w:szCs w:val="28"/>
          <w:u w:val="none"/>
          <w14:textFill>
            <w14:solidFill>
              <w14:schemeClr w14:val="tx1"/>
            </w14:solidFill>
          </w14:textFill>
        </w:rPr>
        <w:t>学年度第</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一</w:t>
      </w:r>
      <w:r>
        <w:rPr>
          <w:rFonts w:hint="eastAsia" w:ascii="宋体" w:hAnsi="宋体" w:eastAsia="宋体" w:cs="Times New Roman"/>
          <w:b/>
          <w:color w:val="000000" w:themeColor="text1"/>
          <w:sz w:val="28"/>
          <w:szCs w:val="28"/>
          <w:u w:val="none"/>
          <w14:textFill>
            <w14:solidFill>
              <w14:schemeClr w14:val="tx1"/>
            </w14:solidFill>
          </w14:textFill>
        </w:rPr>
        <w:t>学期高三历史学科作业</w:t>
      </w:r>
    </w:p>
    <w:p>
      <w:pPr>
        <w:spacing w:line="320" w:lineRule="exact"/>
        <w:jc w:val="center"/>
        <w:rPr>
          <w:rFonts w:ascii="宋体" w:hAnsi="宋体" w:eastAsia="宋体" w:cs="Times New Roman"/>
          <w:b/>
          <w:color w:val="000000" w:themeColor="text1"/>
          <w:szCs w:val="21"/>
          <w:u w:val="none"/>
          <w14:textFill>
            <w14:solidFill>
              <w14:schemeClr w14:val="tx1"/>
            </w14:solidFill>
          </w14:textFill>
        </w:rPr>
      </w:pPr>
      <w:r>
        <w:rPr>
          <w:rFonts w:hint="eastAsia" w:ascii="宋体" w:hAnsi="宋体" w:eastAsia="宋体" w:cs="Times New Roman"/>
          <w:b/>
          <w:color w:val="000000" w:themeColor="text1"/>
          <w:sz w:val="28"/>
          <w:szCs w:val="28"/>
          <w:u w:val="none"/>
          <w14:textFill>
            <w14:solidFill>
              <w14:schemeClr w14:val="tx1"/>
            </w14:solidFill>
          </w14:textFill>
        </w:rPr>
        <w:t>选择题专项训练</w:t>
      </w:r>
      <w:r>
        <w:rPr>
          <w:rFonts w:hint="eastAsia" w:ascii="宋体" w:hAnsi="宋体" w:cs="Times New Roman"/>
          <w:b/>
          <w:color w:val="000000" w:themeColor="text1"/>
          <w:sz w:val="28"/>
          <w:szCs w:val="28"/>
          <w:u w:val="none"/>
          <w:lang w:val="en-US" w:eastAsia="zh-CN"/>
          <w14:textFill>
            <w14:solidFill>
              <w14:schemeClr w14:val="tx1"/>
            </w14:solidFill>
          </w14:textFill>
        </w:rPr>
        <w:t>6</w:t>
      </w:r>
      <w:r>
        <w:rPr>
          <w:rFonts w:hint="eastAsia" w:ascii="宋体" w:hAnsi="宋体" w:eastAsia="宋体" w:cs="Times New Roman"/>
          <w:b/>
          <w:color w:val="000000" w:themeColor="text1"/>
          <w:sz w:val="28"/>
          <w:szCs w:val="28"/>
          <w:u w:val="none"/>
          <w14:textFill>
            <w14:solidFill>
              <w14:schemeClr w14:val="tx1"/>
            </w14:solidFill>
          </w14:textFill>
        </w:rPr>
        <w:t>（</w:t>
      </w:r>
      <w:r>
        <w:rPr>
          <w:rFonts w:hint="eastAsia" w:ascii="宋体" w:hAnsi="宋体" w:eastAsia="宋体" w:cs="Times New Roman"/>
          <w:b/>
          <w:color w:val="000000" w:themeColor="text1"/>
          <w:sz w:val="28"/>
          <w:szCs w:val="28"/>
          <w:u w:val="none"/>
          <w:lang w:val="en-US" w:eastAsia="zh-CN"/>
          <w14:textFill>
            <w14:solidFill>
              <w14:schemeClr w14:val="tx1"/>
            </w14:solidFill>
          </w14:textFill>
        </w:rPr>
        <w:t>中国</w:t>
      </w:r>
      <w:r>
        <w:rPr>
          <w:rFonts w:hint="eastAsia" w:ascii="宋体" w:hAnsi="宋体" w:cs="Times New Roman"/>
          <w:b/>
          <w:color w:val="000000" w:themeColor="text1"/>
          <w:sz w:val="28"/>
          <w:szCs w:val="28"/>
          <w:u w:val="none"/>
          <w:lang w:val="en-US" w:eastAsia="zh-CN"/>
          <w14:textFill>
            <w14:solidFill>
              <w14:schemeClr w14:val="tx1"/>
            </w14:solidFill>
          </w14:textFill>
        </w:rPr>
        <w:t>古代史6</w:t>
      </w:r>
      <w:r>
        <w:rPr>
          <w:rFonts w:hint="eastAsia" w:ascii="宋体" w:hAnsi="宋体" w:eastAsia="宋体" w:cs="Times New Roman"/>
          <w:b/>
          <w:color w:val="000000" w:themeColor="text1"/>
          <w:sz w:val="28"/>
          <w:szCs w:val="28"/>
          <w:u w:val="none"/>
          <w14:textFill>
            <w14:solidFill>
              <w14:schemeClr w14:val="tx1"/>
            </w14:solidFill>
          </w14:textFill>
        </w:rPr>
        <w:t>）</w:t>
      </w:r>
    </w:p>
    <w:p>
      <w:pPr>
        <w:spacing w:line="320" w:lineRule="exact"/>
        <w:jc w:val="center"/>
        <w:rPr>
          <w:rFonts w:hint="default" w:ascii="宋体" w:hAnsi="宋体" w:eastAsia="宋体" w:cs="楷体"/>
          <w:bCs/>
          <w:color w:val="000000" w:themeColor="text1"/>
          <w:sz w:val="24"/>
          <w:u w:val="none"/>
          <w:lang w:val="en-US" w:eastAsia="zh-CN"/>
          <w14:textFill>
            <w14:solidFill>
              <w14:schemeClr w14:val="tx1"/>
            </w14:solidFill>
          </w14:textFill>
        </w:rPr>
      </w:pPr>
      <w:r>
        <w:rPr>
          <w:rFonts w:hint="eastAsia" w:ascii="宋体" w:hAnsi="宋体" w:eastAsia="宋体" w:cs="楷体"/>
          <w:bCs/>
          <w:color w:val="000000" w:themeColor="text1"/>
          <w:sz w:val="24"/>
          <w:u w:val="none"/>
          <w14:textFill>
            <w14:solidFill>
              <w14:schemeClr w14:val="tx1"/>
            </w14:solidFill>
          </w14:textFill>
        </w:rPr>
        <w:t>研制人：</w:t>
      </w:r>
      <w:r>
        <w:rPr>
          <w:rFonts w:hint="eastAsia" w:ascii="宋体" w:hAnsi="宋体" w:cs="楷体"/>
          <w:bCs/>
          <w:color w:val="000000" w:themeColor="text1"/>
          <w:sz w:val="24"/>
          <w:u w:val="none"/>
          <w:lang w:val="en-US" w:eastAsia="zh-CN"/>
          <w14:textFill>
            <w14:solidFill>
              <w14:schemeClr w14:val="tx1"/>
            </w14:solidFill>
          </w14:textFill>
        </w:rPr>
        <w:t>吴荧</w:t>
      </w:r>
      <w:r>
        <w:rPr>
          <w:rFonts w:hint="eastAsia" w:ascii="宋体" w:hAnsi="宋体" w:eastAsia="宋体" w:cs="楷体"/>
          <w:bCs/>
          <w:color w:val="000000" w:themeColor="text1"/>
          <w:sz w:val="24"/>
          <w:u w:val="none"/>
          <w14:textFill>
            <w14:solidFill>
              <w14:schemeClr w14:val="tx1"/>
            </w14:solidFill>
          </w14:textFill>
        </w:rPr>
        <w:t xml:space="preserve">  </w:t>
      </w:r>
      <w:r>
        <w:rPr>
          <w:rFonts w:ascii="宋体" w:hAnsi="宋体" w:eastAsia="宋体" w:cs="楷体"/>
          <w:bCs/>
          <w:color w:val="000000" w:themeColor="text1"/>
          <w:sz w:val="24"/>
          <w:u w:val="none"/>
          <w14:textFill>
            <w14:solidFill>
              <w14:schemeClr w14:val="tx1"/>
            </w14:solidFill>
          </w14:textFill>
        </w:rPr>
        <w:t xml:space="preserve">                    </w:t>
      </w:r>
      <w:r>
        <w:rPr>
          <w:rFonts w:hint="eastAsia" w:ascii="宋体" w:hAnsi="宋体" w:eastAsia="宋体" w:cs="楷体"/>
          <w:bCs/>
          <w:color w:val="000000" w:themeColor="text1"/>
          <w:sz w:val="24"/>
          <w:u w:val="none"/>
          <w14:textFill>
            <w14:solidFill>
              <w14:schemeClr w14:val="tx1"/>
            </w14:solidFill>
          </w14:textFill>
        </w:rPr>
        <w:t xml:space="preserve">   审核人：</w:t>
      </w:r>
      <w:r>
        <w:rPr>
          <w:rFonts w:hint="eastAsia" w:ascii="宋体" w:hAnsi="宋体" w:cs="楷体"/>
          <w:bCs/>
          <w:color w:val="000000" w:themeColor="text1"/>
          <w:sz w:val="24"/>
          <w:u w:val="none"/>
          <w:lang w:val="en-US" w:eastAsia="zh-CN"/>
          <w14:textFill>
            <w14:solidFill>
              <w14:schemeClr w14:val="tx1"/>
            </w14:solidFill>
          </w14:textFill>
        </w:rPr>
        <w:t>刘明森</w:t>
      </w:r>
    </w:p>
    <w:p>
      <w:pPr>
        <w:spacing w:line="280" w:lineRule="exact"/>
        <w:jc w:val="center"/>
        <w:textAlignment w:val="center"/>
        <w:rPr>
          <w:rFonts w:hint="eastAsia" w:ascii="宋体" w:hAnsi="宋体" w:eastAsia="宋体" w:cs="楷体"/>
          <w:bCs/>
          <w:color w:val="000000" w:themeColor="text1"/>
          <w:sz w:val="24"/>
          <w:u w:val="single"/>
          <w:lang w:val="en-US" w:eastAsia="zh-CN"/>
          <w14:textFill>
            <w14:solidFill>
              <w14:schemeClr w14:val="tx1"/>
            </w14:solidFill>
          </w14:textFill>
        </w:rPr>
      </w:pPr>
      <w:r>
        <w:rPr>
          <w:rFonts w:hint="eastAsia" w:ascii="宋体" w:hAnsi="宋体" w:eastAsia="宋体" w:cs="楷体"/>
          <w:bCs/>
          <w:color w:val="000000" w:themeColor="text1"/>
          <w:sz w:val="24"/>
          <w:u w:val="none"/>
          <w14:textFill>
            <w14:solidFill>
              <w14:schemeClr w14:val="tx1"/>
            </w14:solidFill>
          </w14:textFill>
        </w:rPr>
        <w:t>班级：________姓名：________学号：________日期：</w:t>
      </w:r>
      <w:r>
        <w:rPr>
          <w:rFonts w:hint="eastAsia" w:ascii="宋体" w:hAnsi="宋体" w:eastAsia="宋体" w:cs="楷体"/>
          <w:bCs/>
          <w:color w:val="000000" w:themeColor="text1"/>
          <w:sz w:val="24"/>
          <w:u w:val="none"/>
          <w:lang w:val="en-US" w:eastAsia="zh-CN"/>
          <w14:textFill>
            <w14:solidFill>
              <w14:schemeClr w14:val="tx1"/>
            </w14:solidFill>
          </w14:textFill>
        </w:rPr>
        <w:t>___________</w:t>
      </w:r>
      <w:r>
        <w:rPr>
          <w:rFonts w:hint="eastAsia" w:ascii="宋体" w:hAnsi="宋体" w:eastAsia="宋体" w:cs="楷体"/>
          <w:bCs/>
          <w:color w:val="000000" w:themeColor="text1"/>
          <w:sz w:val="24"/>
          <w:u w:val="none"/>
          <w14:textFill>
            <w14:solidFill>
              <w14:schemeClr w14:val="tx1"/>
            </w14:solidFill>
          </w14:textFill>
        </w:rPr>
        <w:t>作业时长：</w:t>
      </w:r>
      <w:r>
        <w:rPr>
          <w:rFonts w:hint="eastAsia" w:ascii="宋体" w:hAnsi="宋体" w:cs="楷体"/>
          <w:bCs/>
          <w:color w:val="000000" w:themeColor="text1"/>
          <w:sz w:val="24"/>
          <w:u w:val="single"/>
          <w:lang w:val="en-US" w:eastAsia="zh-CN"/>
          <w14:textFill>
            <w14:solidFill>
              <w14:schemeClr w14:val="tx1"/>
            </w14:solidFill>
          </w14:textFill>
        </w:rPr>
        <w:t xml:space="preserve"> </w:t>
      </w:r>
      <w:r>
        <w:rPr>
          <w:rFonts w:hint="eastAsia" w:ascii="宋体" w:hAnsi="宋体" w:eastAsia="宋体" w:cs="楷体"/>
          <w:bCs/>
          <w:color w:val="000000" w:themeColor="text1"/>
          <w:sz w:val="24"/>
          <w:u w:val="single"/>
          <w:lang w:val="en-US" w:eastAsia="zh-CN"/>
          <w14:textFill>
            <w14:solidFill>
              <w14:schemeClr w14:val="tx1"/>
            </w14:solidFill>
          </w14:textFill>
        </w:rPr>
        <w:t>20分钟</w:t>
      </w:r>
    </w:p>
    <w:p>
      <w:pPr>
        <w:spacing w:line="280" w:lineRule="exact"/>
        <w:jc w:val="center"/>
        <w:textAlignment w:val="center"/>
        <w:rPr>
          <w:rFonts w:hint="default" w:ascii="宋体" w:hAnsi="宋体" w:eastAsia="宋体" w:cs="楷体"/>
          <w:bCs/>
          <w:color w:val="000000" w:themeColor="text1"/>
          <w:sz w:val="24"/>
          <w:u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考古研究表明，西周初期，作为殷遗族氏和商文化重要标记的金文族徽铜器分布较为分散，其名称、类型也大多与商代晚期相同；但到了西周晚期的殷遗后裔墓葬中，有些铜器已不见族徽，器物组合具有明显的周礼“重食”的特征。这表明</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殷商遗民丧失本族特征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周文化的认同不断增强</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西周农业生产水平提升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礼崩乐坏局面开始出现</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春秋战国时期，各诸侯国纷纷建立独立的度量衡量词体系，甚至部分大夫也创建了所谓家量，名称各异，如齐国有“豆、区、釜、钟”四量，楚国用“担”，魏国用“益”，燕国用“觳”等。这些举措，本质上是为了</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统一量制系统以促进文化交流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加强经济控制以积蓄自身实力</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规范地方治理以加强中央集权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推行重农政策以打击富商势力</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3．秦统一后，下令“堕坏城郭，决通川防，夷去险阻”，拆毁六国在战争期间修筑的关隘壁垒，修筑以都城咸阳为中心的驰道。这些措施的主要目的是</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促进各民族的交往 </w:t>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加强对北方匈奴的控制</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提高行政办事效</w:t>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巩固秦王朝的中央集权</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东汉末年，孔融和陈群就“汝、颍人物孰优孰劣”的问题进行了论争。孔融列举了多位汝南历史上的名人，并对他们进行品评，或凸显其功业，或凸显其德行名节。陈群则以颍川大族的当世功勋为例回应孔融。这种评价人物的现象在汉末较为普遍。这表明当时</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官员考核注重德行与功业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士人具有激浊扬清的风貌</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门第成为选官主要依据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社会动荡亟需儒学复兴</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5．魏晋南北朝时期在南北政权对峙中，南朝认为北朝的民族政权是非正统的，用“魏虏”“索头”等称呼北魏民族；而北朝所著史书，认为正统乃属北方，北魏地处中原，是真正的正统文化所在地，而将南朝的宋、齐、梁三朝称为“岛夷”。这一现象反映出</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民族冲突中蕴含着文化认同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儒学正统地位受到了冲击</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传统的华夷观发生根本改变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南北经济文化交流被阻断</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6．唐宪宗元和（806—820年）中期，朝廷以东南“是税赋之地，与关右诸镇及河南、河北有重兵处，体例不同”，而大量裁罢其军额。宪宗即位初年，东南型九镇藩帅皆曾一易或数易。广德元年至乾符元年，东南型藩镇动乱仅十二起，占该时期全部藩镇动乱数量的百分之七。据此可知，唐朝采取的揩施</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促进了经济重心的南移 </w:t>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维系了国家统治体系</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扭转了藩镇割据的局</w:t>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z w:val="21"/>
          <w:szCs w:val="21"/>
          <w:u w:val="none"/>
          <w:lang w:val="en-US" w:eastAsia="zh-CN"/>
        </w:rPr>
        <w:tab/>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违背了官员任用制度</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7．有学者指出：“实施《地令》或《田令》时，北魏、北齐采用双轨制：对待北鲜卑拓跋族聚居区来说确实是普遍授田制。对汉族为主聚居区，则只是限田制，同时也是一种户籍登记制度。隋唐未见按《田令》规定给吏民实际授田与土地还受的实例；相反，可直接反映未曾实际授田与土地还受的实例却很多。”材料主要反映了</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均田制缺乏实施的社会基础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土地所有权的变更趋于频繁</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土地归属观念影响制度实践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农民人身依附关系有所松弛</w:t>
      </w: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8．有学者认为，马钧关于连弩和攻城器械的想法不被军事统帅曹爽采纳，曹爽是一个只知“慕周公之下士”的腐儒，一向轻视技术。这事正发生在曹操所推行的法家政治路线逐渐被儒家路线所排挤的曹魏中期。该学者意在强调</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中国古代科技独立性的缺失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古代中国科技具有实用性特点</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儒家思想阻碍了科技的发展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统治者对科技发展起绝对作用</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p>
    <w:p>
      <w:pPr>
        <w:pStyle w:val="6"/>
        <w:keepNext w:val="0"/>
        <w:keepLines w:val="0"/>
        <w:pageBreakBefore w:val="0"/>
        <w:widowControl w:val="0"/>
        <w:kinsoku/>
        <w:wordWrap/>
        <w:overflowPunct/>
        <w:topLinePunct w:val="0"/>
        <w:autoSpaceDE/>
        <w:bidi w:val="0"/>
        <w:adjustRightInd/>
        <w:snapToGrid/>
        <w:spacing w:line="240" w:lineRule="auto"/>
        <w:ind w:left="105" w:leftChars="5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9．下表为与包拯有关的不同叙述。这些叙述作为史料，在</w:t>
      </w:r>
    </w:p>
    <w:tbl>
      <w:tblPr>
        <w:tblStyle w:val="4"/>
        <w:tblW w:w="9825"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6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8160"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叙述</w:t>
            </w:r>
          </w:p>
        </w:tc>
        <w:tc>
          <w:tcPr>
            <w:tcW w:w="1665"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8160"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包拯任监察御史时，曾弹劾包括宰相在内的多名朝中大员；后任开封府尹，善于断案，执法刚正不阿，对贪官嫉恶如仇。</w:t>
            </w:r>
          </w:p>
        </w:tc>
        <w:tc>
          <w:tcPr>
            <w:tcW w:w="1665"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漆侠主编《辽宋西夏金代通史》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8160"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大宋年间，陈州大旱，刘得中、杨金吾受朝廷委派前去救灾，却大肆搜刮甚至害死百姓。开封府尹包拯微服暗访，查明事实真相，智斩杨金吾、锤击刘得中，为受害者雪冤。</w:t>
            </w:r>
          </w:p>
        </w:tc>
        <w:tc>
          <w:tcPr>
            <w:tcW w:w="1665"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元杂剧《陈州粜米》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8160"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后世子孙仕宦有犯赃滥者，不得放归本家；亡殁之后，不得葬于大茔之中。不从吾志，非吾子孙。</w:t>
            </w:r>
          </w:p>
        </w:tc>
        <w:tc>
          <w:tcPr>
            <w:tcW w:w="1665" w:type="dxa"/>
            <w:tcMar>
              <w:left w:w="119" w:type="dxa"/>
              <w:right w:w="119" w:type="dxa"/>
            </w:tcMar>
            <w:vAlign w:val="center"/>
          </w:tcPr>
          <w:p>
            <w:pPr>
              <w:keepNext w:val="0"/>
              <w:keepLines w:val="0"/>
              <w:pageBreakBefore w:val="0"/>
              <w:widowControl w:val="0"/>
              <w:kinsoku/>
              <w:wordWrap/>
              <w:overflowPunct/>
              <w:topLinePunct w:val="0"/>
              <w:autoSpaceDE/>
              <w:bidi w:val="0"/>
              <w:adjustRightInd/>
              <w:snapToGrid/>
              <w:spacing w:after="0" w:line="240" w:lineRule="auto"/>
              <w:ind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包拯家训</w:t>
            </w:r>
          </w:p>
        </w:tc>
      </w:tr>
    </w:tbl>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描绘上是一致的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来源上是一致的</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价值上是一致的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主旨上是一致的</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drawing>
          <wp:anchor distT="0" distB="0" distL="0" distR="0" simplePos="0" relativeHeight="251662336" behindDoc="0" locked="0" layoutInCell="1" allowOverlap="1">
            <wp:simplePos x="0" y="0"/>
            <wp:positionH relativeFrom="column">
              <wp:posOffset>4036695</wp:posOffset>
            </wp:positionH>
            <wp:positionV relativeFrom="paragraph">
              <wp:posOffset>20955</wp:posOffset>
            </wp:positionV>
            <wp:extent cx="2179320" cy="1817370"/>
            <wp:effectExtent l="0" t="0" r="11430" b="11430"/>
            <wp:wrapSquare wrapText="bothSides"/>
            <wp:docPr id="16" name="../Upload/image/20230328122014229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pload/image/202303281220142291721.png"/>
                    <pic:cNvPicPr>
                      <a:picLocks noChangeAspect="1" noChangeArrowheads="1"/>
                    </pic:cNvPicPr>
                  </pic:nvPicPr>
                  <pic:blipFill>
                    <a:blip r:embed="rId5"/>
                    <a:srcRect/>
                    <a:stretch>
                      <a:fillRect/>
                    </a:stretch>
                  </pic:blipFill>
                  <pic:spPr>
                    <a:xfrm>
                      <a:off x="0" y="0"/>
                      <a:ext cx="2179320" cy="1817370"/>
                    </a:xfrm>
                    <a:prstGeom prst="rect">
                      <a:avLst/>
                    </a:prstGeom>
                  </pic:spPr>
                </pic:pic>
              </a:graphicData>
            </a:graphic>
          </wp:anchor>
        </w:drawing>
      </w:r>
      <w:r>
        <w:rPr>
          <w:rFonts w:hint="eastAsia" w:asciiTheme="minorEastAsia" w:hAnsiTheme="minorEastAsia" w:eastAsiaTheme="minorEastAsia" w:cstheme="minorEastAsia"/>
          <w:sz w:val="21"/>
          <w:szCs w:val="21"/>
          <w:u w:val="none"/>
        </w:rPr>
        <w:t>10．</w:t>
      </w:r>
      <w:r>
        <w:rPr>
          <w:rFonts w:hint="eastAsia" w:asciiTheme="minorEastAsia" w:hAnsiTheme="minorEastAsia" w:eastAsiaTheme="minorEastAsia" w:cstheme="minorEastAsia"/>
          <w:sz w:val="21"/>
          <w:szCs w:val="21"/>
          <w:u w:val="none"/>
          <w:lang w:val="en-US" w:eastAsia="zh-CN"/>
        </w:rPr>
        <w:t>右</w:t>
      </w:r>
      <w:r>
        <w:rPr>
          <w:rFonts w:hint="eastAsia" w:asciiTheme="minorEastAsia" w:hAnsiTheme="minorEastAsia" w:eastAsiaTheme="minorEastAsia" w:cstheme="minorEastAsia"/>
          <w:sz w:val="21"/>
          <w:szCs w:val="21"/>
          <w:u w:val="none"/>
        </w:rPr>
        <w:t>图</w:t>
      </w:r>
      <w:r>
        <w:rPr>
          <w:rFonts w:hint="eastAsia" w:asciiTheme="minorEastAsia" w:hAnsiTheme="minorEastAsia" w:eastAsiaTheme="minorEastAsia" w:cstheme="minorEastAsia"/>
          <w:sz w:val="21"/>
          <w:szCs w:val="21"/>
          <w:u w:val="none"/>
          <w:lang w:val="en-US" w:eastAsia="zh-CN"/>
        </w:rPr>
        <w:t>为</w:t>
      </w:r>
      <w:r>
        <w:rPr>
          <w:rFonts w:hint="eastAsia" w:asciiTheme="minorEastAsia" w:hAnsiTheme="minorEastAsia" w:eastAsiaTheme="minorEastAsia" w:cstheme="minorEastAsia"/>
          <w:sz w:val="21"/>
          <w:szCs w:val="21"/>
          <w:u w:val="none"/>
        </w:rPr>
        <w:t>古代元朝帝国构建示意图。据图可知，元朝</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行省设置采取犬牙交错的原则       </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统治模式体现出多元型的特点</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受中华传统民族观念影响较深       </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推行民族歧视和民族压迫政策</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drawing>
          <wp:anchor distT="0" distB="0" distL="0" distR="0" simplePos="0" relativeHeight="251661312" behindDoc="0" locked="0" layoutInCell="1" allowOverlap="1">
            <wp:simplePos x="0" y="0"/>
            <wp:positionH relativeFrom="column">
              <wp:posOffset>3955415</wp:posOffset>
            </wp:positionH>
            <wp:positionV relativeFrom="paragraph">
              <wp:posOffset>734060</wp:posOffset>
            </wp:positionV>
            <wp:extent cx="2326005" cy="1619250"/>
            <wp:effectExtent l="0" t="0" r="17145" b="0"/>
            <wp:wrapSquare wrapText="bothSides"/>
            <wp:docPr id="17" name="../Upload/image/202304231010230982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pload/image/202304231010230982791.png"/>
                    <pic:cNvPicPr>
                      <a:picLocks noChangeAspect="1" noChangeArrowheads="1"/>
                    </pic:cNvPicPr>
                  </pic:nvPicPr>
                  <pic:blipFill>
                    <a:blip r:embed="rId6"/>
                    <a:srcRect/>
                    <a:stretch>
                      <a:fillRect/>
                    </a:stretch>
                  </pic:blipFill>
                  <pic:spPr>
                    <a:xfrm>
                      <a:off x="0" y="0"/>
                      <a:ext cx="2326005" cy="1619250"/>
                    </a:xfrm>
                    <a:prstGeom prst="rect">
                      <a:avLst/>
                    </a:prstGeom>
                  </pic:spPr>
                </pic:pic>
              </a:graphicData>
            </a:graphic>
          </wp:anchor>
        </w:drawing>
      </w:r>
      <w:r>
        <w:rPr>
          <w:rFonts w:hint="eastAsia" w:asciiTheme="minorEastAsia" w:hAnsiTheme="minorEastAsia" w:eastAsiaTheme="minorEastAsia" w:cstheme="minorEastAsia"/>
          <w:sz w:val="21"/>
          <w:szCs w:val="21"/>
          <w:u w:val="none"/>
        </w:rPr>
        <w:t>11．北宋都城汴京每年三月都会在金明池举办各种水戏表演，吸引了众多市民观赏。《东京梦华录》载“又有两画船，上立秋千……又一人上蹴秋千，将平架，筋斗掷身入水”（如下图所示）。这反映了北宋</w:t>
      </w:r>
    </w:p>
    <w:p>
      <w:pPr>
        <w:pStyle w:val="6"/>
        <w:keepNext w:val="0"/>
        <w:keepLines w:val="0"/>
        <w:pageBreakBefore w:val="0"/>
        <w:widowControl w:val="0"/>
        <w:kinsoku/>
        <w:wordWrap/>
        <w:overflowPunct/>
        <w:topLinePunct w:val="0"/>
        <w:autoSpaceDE/>
        <w:bidi w:val="0"/>
        <w:adjustRightInd/>
        <w:snapToGrid/>
        <w:spacing w:line="240" w:lineRule="auto"/>
        <w:jc w:val="both"/>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“水秋千”表演</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城市市民丰富的娱乐生活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崇尚力量成为社会的风尚</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市民热衷于进行体育运动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城市娱乐功能进一步突出</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12．某思想家的年谱有下面这样一段文字：“先生三十七岁，始悟格物致知。……中夜大悟格物致知之旨，寤寐中若有人语之者，不觉呼跃，从者皆惊。始知向之求理于事物者误也。”该思想家的上述主张</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表达了对社会现实的关注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强调人的主观能动</w:t>
      </w:r>
    </w:p>
    <w:p>
      <w:pPr>
        <w:pStyle w:val="7"/>
        <w:keepNext w:val="0"/>
        <w:keepLines w:val="0"/>
        <w:pageBreakBefore w:val="0"/>
        <w:widowControl w:val="0"/>
        <w:kinsoku/>
        <w:wordWrap/>
        <w:overflowPunct/>
        <w:topLinePunct w:val="0"/>
        <w:autoSpaceDE/>
        <w:autoSpaceDN w:val="0"/>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体现了格物致知的实践论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突出反对君主专制</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13．明英宗时期，有朝臣援引古训谏称“欲怀远者必先安近，中国如本根，四夷如枝叶，疲中国以奉四夷，犹拔本根以益枝叶也”。孝宗时期，又有人上书称“今各处地方水旱相仍，人民穷困，却乃疲中国，以供远夷，费有用而易无用”。从中折射出明朝</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华夷观念的松动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朝贡体制的终结</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民间贸易的禁绝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对外交往的收缩</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14．1793年，清政府颁布《钦定藏内善后章程》29条，其中规定：“每年春秋两季，驻藏大臣奏明皇上轮流巡查前后藏，顺便督察操演。各地……如有虐待兵丁、扰害百姓等情，即可向驻藏大臣呈控，定予查处”，这一规定</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开始确立中央对西藏的行政管理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有效保证了宣政院对西藏的管辖</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逐步取消了长期的土司世袭制度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有利于巩固西藏边防和社会稳定</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15．下表为学者整理的14—17世纪中国米价的变化情况。据此可知，这一时期</w:t>
      </w:r>
    </w:p>
    <w:tbl>
      <w:tblPr>
        <w:tblStyle w:val="4"/>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6"/>
        <w:gridCol w:w="3182"/>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1"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期间</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每公石平均价格（公分银）</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每公斤银所能购得之米（公石）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1"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14世纪后半期</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17.19</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58.17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1"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16世纪前半期</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20.19</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1"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16世纪后半期</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23.00</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43.48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51"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17世纪前半期</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32.19</w:t>
            </w:r>
          </w:p>
        </w:tc>
        <w:tc>
          <w:tcPr>
            <w:tcW w:w="2122" w:type="dxa"/>
            <w:vAlign w:val="top"/>
          </w:tcPr>
          <w:p>
            <w:pPr>
              <w:keepNext w:val="0"/>
              <w:keepLines w:val="0"/>
              <w:pageBreakBefore w:val="0"/>
              <w:widowControl w:val="0"/>
              <w:kinsoku/>
              <w:wordWrap/>
              <w:overflowPunct/>
              <w:topLinePunct w:val="0"/>
              <w:autoSpaceDE/>
              <w:bidi w:val="0"/>
              <w:adjustRightInd/>
              <w:snapToGrid/>
              <w:spacing w:after="0" w:line="240" w:lineRule="auto"/>
              <w:ind w:firstLine="0" w:firstLineChars="0"/>
              <w:jc w:val="center"/>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31.07</w:t>
            </w:r>
          </w:p>
        </w:tc>
      </w:tr>
    </w:tbl>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大米产量持续上升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农业的多种经营兴盛</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白银的购买力下降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长途和大额贸易发展</w:t>
      </w:r>
    </w:p>
    <w:p>
      <w:pPr>
        <w:pStyle w:val="6"/>
        <w:keepNext w:val="0"/>
        <w:keepLines w:val="0"/>
        <w:pageBreakBefore w:val="0"/>
        <w:widowControl w:val="0"/>
        <w:kinsoku/>
        <w:wordWrap/>
        <w:overflowPunct/>
        <w:topLinePunct w:val="0"/>
        <w:autoSpaceDE/>
        <w:bidi w:val="0"/>
        <w:adjustRightInd/>
        <w:snapToGrid/>
        <w:spacing w:line="240" w:lineRule="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u w:val="none"/>
        </w:rPr>
        <w:t>16．王阳明认为，圣人不是生知，不是先知，亦不是无所不知。圣人虽也有才力大小的不同，但论其为圣，是不分知识和才力的。圣人原与凡人一样，并没有全知全能的天赋。由此推知，王阳明意在强调</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A．</w:t>
      </w:r>
      <w:r>
        <w:rPr>
          <w:rFonts w:hint="eastAsia" w:asciiTheme="minorEastAsia" w:hAnsiTheme="minorEastAsia" w:eastAsiaTheme="minorEastAsia" w:cstheme="minorEastAsia"/>
          <w:sz w:val="21"/>
          <w:szCs w:val="21"/>
          <w:u w:val="none"/>
        </w:rPr>
        <w:t xml:space="preserve">圣人应该加强道德修养             </w:t>
      </w:r>
      <w:r>
        <w:rPr>
          <w:rFonts w:hint="eastAsia" w:asciiTheme="minorEastAsia" w:hAnsiTheme="minorEastAsia" w:eastAsiaTheme="minorEastAsia" w:cstheme="minorEastAsia"/>
          <w:spacing w:val="25"/>
          <w:sz w:val="21"/>
          <w:szCs w:val="21"/>
          <w:u w:val="none"/>
        </w:rPr>
        <w:t>B．</w:t>
      </w:r>
      <w:r>
        <w:rPr>
          <w:rFonts w:hint="eastAsia" w:asciiTheme="minorEastAsia" w:hAnsiTheme="minorEastAsia" w:eastAsiaTheme="minorEastAsia" w:cstheme="minorEastAsia"/>
          <w:sz w:val="21"/>
          <w:szCs w:val="21"/>
          <w:u w:val="none"/>
        </w:rPr>
        <w:t>儒学家应为底层民众服务</w:t>
      </w:r>
    </w:p>
    <w:p>
      <w:pPr>
        <w:pStyle w:val="7"/>
        <w:keepNext w:val="0"/>
        <w:keepLines w:val="0"/>
        <w:pageBreakBefore w:val="0"/>
        <w:widowControl w:val="0"/>
        <w:kinsoku/>
        <w:wordWrap/>
        <w:overflowPunct/>
        <w:topLinePunct w:val="0"/>
        <w:autoSpaceDE/>
        <w:autoSpaceDN w:val="0"/>
        <w:bidi w:val="0"/>
        <w:adjustRightInd/>
        <w:snapToGrid/>
        <w:spacing w:line="240" w:lineRule="auto"/>
        <w:ind w:left="420" w:firstLine="0" w:firstLineChars="0"/>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pacing w:val="25"/>
          <w:sz w:val="21"/>
          <w:szCs w:val="21"/>
          <w:u w:val="none"/>
        </w:rPr>
        <w:t>C．</w:t>
      </w:r>
      <w:r>
        <w:rPr>
          <w:rFonts w:hint="eastAsia" w:asciiTheme="minorEastAsia" w:hAnsiTheme="minorEastAsia" w:eastAsiaTheme="minorEastAsia" w:cstheme="minorEastAsia"/>
          <w:sz w:val="21"/>
          <w:szCs w:val="21"/>
          <w:u w:val="none"/>
        </w:rPr>
        <w:t xml:space="preserve">知识对于成长的必要性             </w:t>
      </w:r>
      <w:r>
        <w:rPr>
          <w:rFonts w:hint="eastAsia" w:asciiTheme="minorEastAsia" w:hAnsiTheme="minorEastAsia" w:eastAsiaTheme="minorEastAsia" w:cstheme="minorEastAsia"/>
          <w:spacing w:val="25"/>
          <w:sz w:val="21"/>
          <w:szCs w:val="21"/>
          <w:u w:val="none"/>
        </w:rPr>
        <w:t>D．</w:t>
      </w:r>
      <w:r>
        <w:rPr>
          <w:rFonts w:hint="eastAsia" w:asciiTheme="minorEastAsia" w:hAnsiTheme="minorEastAsia" w:eastAsiaTheme="minorEastAsia" w:cstheme="minorEastAsia"/>
          <w:sz w:val="21"/>
          <w:szCs w:val="21"/>
          <w:u w:val="none"/>
        </w:rPr>
        <w:t>发现内心良知的重要价值</w:t>
      </w:r>
    </w:p>
    <w:p>
      <w:pPr>
        <w:rPr>
          <w:u w:val="none"/>
        </w:rPr>
      </w:pPr>
    </w:p>
    <w:p>
      <w:bookmarkStart w:id="0" w:name="_GoBack"/>
      <w:bookmarkEnd w:id="0"/>
    </w:p>
    <w:sectPr>
      <w:footerReference r:id="rId3" w:type="default"/>
      <w:pgSz w:w="11906" w:h="16838"/>
      <w:pgMar w:top="1134" w:right="1134" w:bottom="1134" w:left="1134"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0" r="0"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GZiNWZhYzY4Mzc1MjViYmQzMWQ5ZWRiODdlY2UifQ=="/>
  </w:docVars>
  <w:rsids>
    <w:rsidRoot w:val="60977EB5"/>
    <w:rsid w:val="6097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试卷-单选题-试题-题目"/>
    <w:basedOn w:val="1"/>
    <w:qFormat/>
    <w:uiPriority w:val="0"/>
    <w:pPr>
      <w:spacing w:line="360" w:lineRule="auto"/>
      <w:jc w:val="left"/>
    </w:pPr>
  </w:style>
  <w:style w:type="paragraph" w:customStyle="1" w:styleId="7">
    <w:name w:val="试卷-单选题-试题-答案"/>
    <w:basedOn w:val="1"/>
    <w:qFormat/>
    <w:uiPriority w:val="0"/>
    <w:pPr>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2023-09-14T07:14:00Z</dcterms:created>
  <dc:creator>萧暮予</dc:creator>
  <cp:lastModifiedBy>萧暮予</cp:lastModifiedBy>
  <dcterms:modified xsi:type="dcterms:W3CDTF">2023-09-14T07:15:03Z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0A7621D792704DC58D90274CD4016FB0_11</vt:lpwstr>
  </property>
</Properties>
</file>