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eastAsia="宋体" w:cs="Times New Roman"/>
          <w:b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江苏省仪征中学202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—202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学年度第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一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学期高三历史学科作业</w:t>
      </w:r>
    </w:p>
    <w:p>
      <w:pPr>
        <w:spacing w:line="320" w:lineRule="exact"/>
        <w:jc w:val="center"/>
        <w:rPr>
          <w:rFonts w:ascii="宋体" w:hAnsi="宋体" w:eastAsia="宋体" w:cs="Times New Roman"/>
          <w:b/>
          <w:color w:val="000000"/>
          <w:szCs w:val="21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选择题专项训练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（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中国古代史3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）</w:t>
      </w:r>
    </w:p>
    <w:p>
      <w:pPr>
        <w:spacing w:line="320" w:lineRule="exact"/>
        <w:jc w:val="center"/>
        <w:rPr>
          <w:rFonts w:hint="default" w:ascii="宋体" w:hAnsi="宋体" w:eastAsia="宋体" w:cs="楷体"/>
          <w:bCs/>
          <w:color w:val="000000"/>
          <w:sz w:val="24"/>
          <w:szCs w:val="20"/>
          <w:u w:val="none"/>
          <w:lang w:val="en-US"/>
        </w:rPr>
      </w:pP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</w:rPr>
        <w:t>研制人：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  <w:lang w:val="en-US" w:eastAsia="zh-CN"/>
        </w:rPr>
        <w:t>吴荧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</w:rPr>
        <w:t xml:space="preserve">  </w:t>
      </w:r>
      <w:r>
        <w:rPr>
          <w:rFonts w:ascii="宋体" w:hAnsi="宋体" w:eastAsia="宋体" w:cs="楷体"/>
          <w:bCs/>
          <w:color w:val="000000"/>
          <w:sz w:val="24"/>
          <w:szCs w:val="20"/>
          <w:u w:val="none"/>
        </w:rPr>
        <w:t xml:space="preserve">                    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</w:rPr>
        <w:t xml:space="preserve">   审核人：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  <w:lang w:val="en-US" w:eastAsia="zh-CN"/>
        </w:rPr>
        <w:t>杨丽娟</w:t>
      </w:r>
    </w:p>
    <w:p>
      <w:pPr>
        <w:spacing w:line="280" w:lineRule="exact"/>
        <w:jc w:val="center"/>
        <w:textAlignment w:val="center"/>
        <w:rPr>
          <w:rFonts w:hint="default" w:ascii="宋体" w:hAnsi="宋体" w:eastAsia="宋体" w:cs="Times New Roman"/>
          <w:color w:val="000000"/>
          <w:szCs w:val="21"/>
          <w:u w:val="single"/>
          <w:lang w:val="en-US" w:eastAsia="zh-CN"/>
        </w:rPr>
      </w:pP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</w:rPr>
        <w:t>班级：________姓名：________学号：________日期：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  <w:lang w:val="en-US" w:eastAsia="zh-CN"/>
        </w:rPr>
        <w:t>___________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</w:rPr>
        <w:t>作业时长：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single"/>
          <w:lang w:val="en-US" w:eastAsia="zh-CN"/>
        </w:rPr>
        <w:t xml:space="preserve"> 20分钟</w:t>
      </w:r>
    </w:p>
    <w:p>
      <w:pPr>
        <w:spacing w:line="280" w:lineRule="exact"/>
        <w:jc w:val="left"/>
        <w:textAlignment w:val="center"/>
        <w:rPr>
          <w:rFonts w:ascii="宋体" w:hAnsi="宋体" w:eastAsia="宋体" w:cs="Times New Roman"/>
          <w:color w:val="000000"/>
          <w:szCs w:val="21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1．商末作册般甗（青铜器）铭文有“王宜人方”，记载了商王欲讨伐人方一事。后来《尔雅》对铭文中的“宜”字解释为：“起大事，动大众，必先有事乎社（祀）而后出，谓之宜。”此解释揭示了商末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王权深具群众基础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神权影响国家政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内外服制走向瓦解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重史传统已经成型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2．春秋初期的战争情况是“结日定地，各居一面，鸣鼓而战，不相诈”；春秋末年的《孙子兵法》确立“兵以诈立，以利动，以分合为变”的战争基本原则；战国时孙膑提出 “必攻不守”，持久战和歼灭战思想逐步萌芽并发展。这些转变反映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兼并战争初露端倪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中央集权受到挑战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礼乐制度走向崩溃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宗法制度开始解体3．李福泉教授在《秦无三公九卿制考辨》 一文中曾指出，“三公九卿制”并非秦制，实为汉制，秦代三公九卿制度的说法形成并流传于世，是班固根据司马迁所称“汉承秦制”的原则，将汉代的三公九卿制度推定为秦代的三公九卿而导致的结果。由此可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史书记载需要考古验证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文献考证只能依据原始史料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史学研究应摒除主观性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历史研究应该注重史料互证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10795</wp:posOffset>
            </wp:positionV>
            <wp:extent cx="3409950" cy="992505"/>
            <wp:effectExtent l="0" t="0" r="0" b="17145"/>
            <wp:wrapSquare wrapText="bothSides"/>
            <wp:docPr id="19" name="图片 19" descr="16887764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68877645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4．右表是东汉、三国时期官方登记在册户数、口数数据表。导致这一变化的主要因素是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自然灾害多发和严重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豪强地主势力的发展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西北少数民族的内迁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北方人口大批量南迁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5．魏晋以来，入居中原的少数民族上层已具有相当高的汉文化修养。内迁较早的匈奴贵族如刘渊、刘宜等莫不综览经史、著诗文、工书草。胡服在中原流行，推动中国传统服饰由“上衣下裳制”向“上衣下裤制”转变。另外，以肉食、奶酪等为特征的北方游牧民族的饮食，也为中华民族的饮食文化增添了新内容。据此可知，这一时期文化交融的主要特点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同源共祖的意识初步确立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家国一体的观念得到认同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中外文化交流的规模空前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文化交流具有双向性特征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6．魏孝文帝太和十四年，南齐派使节北上，恰逢冯太后丧事，齐使欲以朱衣入见，北魏派人四次往返劝阻，皆不肯更衣。后北魏以精通礼学的名士成淹与之辩论，齐使不敌，只得以丧服入见。此事件反映当时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南人无视北方习俗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魏晋玄学由盛转衰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地域文化南北分明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北朝深受儒学熏陶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7．公元733年，唐玄宗改唐初10道为15道，置采访、观察使以常驻，主管监察，道逐渐成为州以上的一级行政区划；安史之乱后，军事成为道的主要政务，唐廷遂将原在边防实行的镇守节度使制应用于诸道。这一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完善了中央对地方的监察制度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有利于中央集权不断加强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体现了中央对现实的政治妥协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加速了唐王朝的土崩瓦解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11430</wp:posOffset>
            </wp:positionV>
            <wp:extent cx="2931795" cy="1739900"/>
            <wp:effectExtent l="0" t="0" r="1905" b="12700"/>
            <wp:wrapSquare wrapText="bothSides"/>
            <wp:docPr id="21" name="图片 21" descr="16887787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68877874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8．右表为唐宪宗元和年间（806年—820年）财政收入估算。此表最适合用于研究唐朝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两税法实施后的赋税种类权重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土地兼并导致国家财政的减少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租庸调制度下的财政收入来源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藩镇割据制约社会经济的发展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9．唐朝人继承正月十五传统习俗在此夜燃灯、赏灯。同时增添了禁止宰杀渔猎，读道经的内容。唐朝政府还把四月八日定为佛诞节，与老子生辰一样，休假一日，以申庆贺。民间另有二月八日和腊月八日浴佛的习俗。这些现象反映了当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开放多元的社会氛围  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经济发展冲击传统观念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儒佛道实现三教合流  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政府重视道德风尚建设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10．宋真宗时期王钦若出任宰相之后，其与派系不同、政见不同的寇准也被任命为宰相。有人对此表示不理解，宋真宗将其中奥妙说破：“且要异论相搅，即各不敢为非。”由此可见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统治宽松促进言论自由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皇权相权矛盾不可调和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防范重臣置于效率之上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重视台谏政治发展完善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11．辽圣宗推崇汉文化，曾下诏“蕃汉官子孙有秀茂者，必令学中国书籍，习读经书”；此外，他还开科举，选拔、任用大量汉人参与朝政建设，如宰相张俭、杜防等。辽圣宗的这些举措，从社会转型角度而言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缓和了辽国尖锐的民族矛盾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确立了儒学在辽国的正统地位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导致了游牧文明的日益衰落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推动了契丹政权的封建化进程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12．宋神宗元丰年间，两浙户均耕地为20．38亩，南宋时跌至16．1亩。浙西一带的农民每到秋熟，就到“土沃多旷”的两淮，帮助淮民收获，田主仅取收获的一半，“他皆为浙人得之，以舟载所得而归。”这表明南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人口增长压力导致季节性流动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长途贩运和大额贸易获得发展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政府对百姓职业更换限制松弛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经济重心尚未转移到江南地区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13．关于思维导图1的推论，正确的是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7620</wp:posOffset>
            </wp:positionV>
            <wp:extent cx="3334385" cy="1724660"/>
            <wp:effectExtent l="0" t="0" r="18415" b="8890"/>
            <wp:wrapSquare wrapText="bothSides"/>
            <wp:docPr id="6" name="../Upload/image/202303251106278979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../Upload/image/202303251106278979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438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图1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程朱理学阻碍了古代科技发展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批判宗教是程朱理学的核心传承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格物穷理推动了宋元科技发展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大胆怀疑是古代科技的思维方式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firstLine="0" w:firstLineChars="0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14．明代宦官魏忠贤被宠信时，人们“只知有忠贤，而不知有皇上”，下一任皇帝继位后，魏忠贤却被治罪，最终自缢而亡。这反映的实质是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宦官拥有决策权      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宰相制度被废除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君主专制的强化      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宦官获得批红权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15．下表为雍正至嘉庆时期部分被批准的奏折，由此可知当时</w:t>
      </w:r>
    </w:p>
    <w:tbl>
      <w:tblPr>
        <w:tblStyle w:val="3"/>
        <w:tblW w:w="6206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330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 </w:t>
            </w:r>
          </w:p>
        </w:tc>
        <w:tc>
          <w:tcPr>
            <w:tcW w:w="3300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内容</w:t>
            </w:r>
          </w:p>
        </w:tc>
        <w:tc>
          <w:tcPr>
            <w:tcW w:w="2130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Mar>
              <w:left w:w="119" w:type="dxa"/>
              <w:right w:w="11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奏折1</w:t>
            </w:r>
          </w:p>
        </w:tc>
        <w:tc>
          <w:tcPr>
            <w:tcW w:w="3300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为（征战准噶尔）沿边口外均应照例添设驿站，以便文移以重军务事</w:t>
            </w:r>
          </w:p>
        </w:tc>
        <w:tc>
          <w:tcPr>
            <w:tcW w:w="2130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雍正七年（1729年）川陕总督岳钟琪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Mar>
              <w:left w:w="119" w:type="dxa"/>
              <w:right w:w="11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奏折2</w:t>
            </w:r>
          </w:p>
        </w:tc>
        <w:tc>
          <w:tcPr>
            <w:tcW w:w="3300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驻藏大臣应每年亲历后藏一带巡查，并将该处防兵就便查察</w:t>
            </w:r>
          </w:p>
        </w:tc>
        <w:tc>
          <w:tcPr>
            <w:tcW w:w="2130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乾隆五十四年（1789年）成都将军鄂辉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6" w:type="dxa"/>
            <w:tcMar>
              <w:left w:w="119" w:type="dxa"/>
              <w:right w:w="11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奏折3</w:t>
            </w:r>
          </w:p>
        </w:tc>
        <w:tc>
          <w:tcPr>
            <w:tcW w:w="3300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新疆地方鼓铸乾隆钱二成，嘉庆钱八成，一体行用</w:t>
            </w:r>
          </w:p>
        </w:tc>
        <w:tc>
          <w:tcPr>
            <w:tcW w:w="2130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嘉庆五年（1800年）阿克苏办事大臣阳春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行政体系完备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边疆治理水平提升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君主专制加强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封建统治危机加剧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16．几千年来，中华民族都是靠中医药治病救人的，特别是经过抗击非典、新冠肺炎疫情等重大传染病之后，我们对中医药的作用有了更深的认识。下列有关中医药的表述有误的是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战国至两汉——《黄帝内经》——奠定了中医理论基础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东汉——《神农本草经》——古代第一部药物学专著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唐——《千金方》——第一部政府颁布的药典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明——《本草纲目》——被誉为“东方药学巨典”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GZiNWZhYzY4Mzc1MjViYmQzMWQ5ZWRiODdlY2UifQ=="/>
  </w:docVars>
  <w:rsids>
    <w:rsidRoot w:val="2479422A"/>
    <w:rsid w:val="2479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2023-09-14T07:12:00Z</dcterms:created>
  <dc:creator>萧暮予</dc:creator>
  <cp:lastModifiedBy>萧暮予</cp:lastModifiedBy>
  <dcterms:modified xsi:type="dcterms:W3CDTF">2023-09-14T07:12:57Z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37C04012832B4A37B5EAC1584DD526F2_11</vt:lpwstr>
  </property>
</Properties>
</file>