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新宋体" w:hAnsi="新宋体" w:eastAsia="新宋体" w:cs="Times New Roman"/>
          <w:b/>
          <w:bCs/>
          <w:color w:val="000000"/>
          <w:sz w:val="24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t>10.</w:t>
      </w:r>
      <w:bookmarkStart w:id="0" w:name="_GoBack"/>
      <w:r>
        <w:rPr>
          <w:rFonts w:hint="eastAsia" w:ascii="黑体" w:hAnsi="黑体" w:eastAsia="黑体"/>
          <w:color w:val="000000"/>
          <w:sz w:val="28"/>
          <w:szCs w:val="28"/>
        </w:rPr>
        <w:t>函数模型及其应用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研制人：孙庆杨</w:t>
      </w:r>
      <w:r>
        <w:rPr>
          <w:rFonts w:ascii="楷体" w:hAnsi="楷体" w:eastAsia="楷体"/>
          <w:bCs/>
          <w:color w:val="000000"/>
          <w:sz w:val="24"/>
        </w:rPr>
        <w:t xml:space="preserve"> 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widowControl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1．了解指数函数、对数函数、幂函数的增长特征，结合具体实例体会直线上升、指数增长、对数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增长等不同函数类型增长的含义．</w:t>
      </w:r>
    </w:p>
    <w:p>
      <w:pPr>
        <w:widowControl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2．了解函数模型(如指数函数、对数函数、幂函数、分段函数等在社会生活中普遍使用的函数模</w:t>
      </w:r>
    </w:p>
    <w:p>
      <w:pPr>
        <w:widowControl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型)的广泛应用．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1.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某工厂一年中各月份的收入、支出情况的统计图如图所示，则下列说法中错误的是(　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)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115570</wp:posOffset>
            </wp:positionV>
            <wp:extent cx="1905635" cy="1442720"/>
            <wp:effectExtent l="0" t="0" r="18415" b="5080"/>
            <wp:wrapTight wrapText="bothSides">
              <wp:wrapPolygon>
                <wp:start x="0" y="0"/>
                <wp:lineTo x="0" y="21391"/>
                <wp:lineTo x="21377" y="21391"/>
                <wp:lineTo x="21377" y="0"/>
                <wp:lineTo x="0" y="0"/>
              </wp:wrapPolygon>
            </wp:wrapTight>
            <wp:docPr id="8" name="图片 3" descr="s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s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．收入最高值与收入最低值的比是3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结余最高的月份是7月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至2月份的收入的变化率与4至5月份的收入的变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化率相同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前6个月的平均收入为40万元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623" w:tblpY="6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7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0.50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0.99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2.01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－0.99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0.01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0.98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4320"/>
              </w:tabs>
              <w:snapToGrid w:val="0"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2.00</w:t>
            </w:r>
          </w:p>
        </w:tc>
      </w:tr>
    </w:tbl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在某个物理实验中，测量得变量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和变量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的几组数据，如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下表：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则对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最适合的拟合函数是(　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)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C．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－2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3.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某种动物繁殖量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只与时间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年的关系为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＋1)，设这种动物第2年有100只，到第8 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年它们将发展到(　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)</w:t>
      </w:r>
    </w:p>
    <w:p>
      <w:pPr>
        <w:widowControl w:val="0"/>
        <w:tabs>
          <w:tab w:val="left" w:pos="4320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A．200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只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300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只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400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只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500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只</w:t>
      </w:r>
    </w:p>
    <w:p>
      <w:pPr>
        <w:widowControl w:val="0"/>
        <w:tabs>
          <w:tab w:val="left" w:pos="4320"/>
        </w:tabs>
        <w:snapToGrid w:val="0"/>
        <w:spacing w:line="0" w:lineRule="atLeast"/>
        <w:ind w:left="284" w:hanging="284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ind w:left="284" w:hanging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Logistic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模型是常用数学模型之一，可应用于流行病学领域．有学者根据公布数据建立了某地区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新冠肺炎累计确诊病例数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I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的单位：天)的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Logistic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模型：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I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K,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－0.23（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－53）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，其中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为最大确诊病例数．当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I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*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0.95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时，标志着已初步遏制疫情，则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*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约为(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ln 19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4635"/>
        </w:tabs>
        <w:snapToGrid w:val="0"/>
        <w:spacing w:line="0" w:lineRule="atLeast"/>
        <w:ind w:firstLine="4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A．60        B．63        C．66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D．69</w:t>
      </w: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rFonts w:ascii="新宋体" w:hAnsi="新宋体" w:eastAsia="新宋体"/>
          <w:color w:val="000000"/>
        </w:rPr>
      </w:pP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color w:val="000000"/>
          <w:szCs w:val="21"/>
        </w:rPr>
      </w:pPr>
      <w:r>
        <w:rPr>
          <w:rFonts w:hint="eastAsia" w:ascii="新宋体" w:hAnsi="新宋体" w:eastAsia="新宋体"/>
          <w:color w:val="000000"/>
        </w:rPr>
        <w:t>5</w:t>
      </w:r>
      <w:r>
        <w:rPr>
          <w:rFonts w:ascii="新宋体" w:hAnsi="新宋体" w:eastAsia="新宋体"/>
          <w:color w:val="000000"/>
        </w:rPr>
        <w:t>.</w:t>
      </w:r>
      <w:r>
        <w:rPr>
          <w:rFonts w:eastAsia="Times New Roman"/>
          <w:color w:val="000000"/>
          <w:szCs w:val="21"/>
        </w:rPr>
        <w:t xml:space="preserve"> </w:t>
      </w:r>
      <w:r>
        <w:rPr>
          <w:color w:val="000000"/>
          <w:szCs w:val="21"/>
        </w:rPr>
        <w:t>某人喝了少量酒后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血液中的酒精含量迅速上升到</w:t>
      </w:r>
      <w:r>
        <w:rPr>
          <w:rFonts w:eastAsia="Times New Roman"/>
          <w:color w:val="000000"/>
          <w:szCs w:val="21"/>
        </w:rPr>
        <w:t>0.3 mg/mL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在停止喝酒后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血液中的酒精含量以每小时</w:t>
      </w:r>
      <w:r>
        <w:rPr>
          <w:rFonts w:eastAsia="Times New Roman"/>
          <w:color w:val="000000"/>
          <w:szCs w:val="21"/>
        </w:rPr>
        <w:t>25</w:t>
      </w:r>
      <w:r>
        <w:rPr>
          <w:rFonts w:hint="eastAsia" w:ascii="宋体" w:hAnsi="宋体" w:cs="宋体"/>
          <w:color w:val="000000"/>
          <w:szCs w:val="21"/>
        </w:rPr>
        <w:t>％</w:t>
      </w:r>
      <w:r>
        <w:rPr>
          <w:color w:val="000000"/>
          <w:szCs w:val="21"/>
        </w:rPr>
        <w:t>的速度减少</w:t>
      </w:r>
      <w:r>
        <w:rPr>
          <w:rFonts w:eastAsia="Times New Roman"/>
          <w:color w:val="000000"/>
          <w:szCs w:val="21"/>
        </w:rPr>
        <w:t>.</w:t>
      </w:r>
      <w:r>
        <w:rPr>
          <w:color w:val="000000"/>
          <w:szCs w:val="21"/>
        </w:rPr>
        <w:t>为了保障交通安全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某地规定</w:t>
      </w:r>
      <w:r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驾驶员血液中的酒精含量不得超过</w:t>
      </w:r>
      <w:r>
        <w:rPr>
          <w:rFonts w:eastAsia="Times New Roman"/>
          <w:color w:val="000000"/>
          <w:szCs w:val="21"/>
        </w:rPr>
        <w:t>0.09 mg/mL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那么这个人喝了少量酒后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至少经过</w:t>
      </w:r>
      <w:r>
        <w:rPr>
          <w:rFonts w:hint="eastAsia" w:ascii="新宋体" w:hAnsi="新宋体" w:eastAsia="新宋体"/>
          <w:color w:val="000000"/>
          <w:u w:val="single"/>
        </w:rPr>
        <w:t xml:space="preserve">     </w:t>
      </w:r>
      <w:r>
        <w:rPr>
          <w:color w:val="000000"/>
          <w:szCs w:val="21"/>
        </w:rPr>
        <w:t>小时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才能开车</w:t>
      </w:r>
      <w:r>
        <w:rPr>
          <w:rFonts w:eastAsia="Times New Roman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精确到</w:t>
      </w:r>
      <w:r>
        <w:rPr>
          <w:rFonts w:eastAsia="Times New Roman"/>
          <w:color w:val="000000"/>
          <w:szCs w:val="21"/>
        </w:rPr>
        <w:t>1</w:t>
      </w:r>
      <w:r>
        <w:rPr>
          <w:color w:val="000000"/>
          <w:szCs w:val="21"/>
        </w:rPr>
        <w:t>小时</w:t>
      </w:r>
      <w:r>
        <w:rPr>
          <w:rFonts w:ascii="宋体" w:hAnsi="宋体"/>
          <w:color w:val="000000"/>
          <w:szCs w:val="21"/>
        </w:rPr>
        <w:t>）</w:t>
      </w:r>
    </w:p>
    <w:p>
      <w:pPr>
        <w:widowControl w:val="0"/>
        <w:tabs>
          <w:tab w:val="left" w:pos="3402"/>
          <w:tab w:val="left" w:pos="3828"/>
        </w:tabs>
        <w:snapToGrid w:val="0"/>
        <w:spacing w:line="0" w:lineRule="atLeast"/>
        <w:ind w:left="142" w:hanging="142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  <w:tab w:val="left" w:pos="3828"/>
        </w:tabs>
        <w:snapToGrid w:val="0"/>
        <w:spacing w:line="0" w:lineRule="atLeast"/>
        <w:ind w:left="142" w:hanging="142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6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.生产一定数量商品的全部费用称为生产成本</w:t>
      </w: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某企业一个月生产某种商品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万件的生产成本为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(1</w:instrTex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＋20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(万元)．一万件售价为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20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万元，为获取更大利润，该企业一个月应生产该商品数量为</w:t>
      </w: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万件．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83" w:firstLineChars="13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widowControl w:val="0"/>
        <w:numPr>
          <w:ilvl w:val="0"/>
          <w:numId w:val="1"/>
        </w:numPr>
        <w:tabs>
          <w:tab w:val="left" w:pos="4320"/>
        </w:tabs>
        <w:snapToGrid w:val="0"/>
        <w:spacing w:line="360" w:lineRule="auto"/>
        <w:ind w:left="426" w:hanging="426"/>
        <w:jc w:val="both"/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676910</wp:posOffset>
            </wp:positionV>
            <wp:extent cx="1252855" cy="914400"/>
            <wp:effectExtent l="0" t="0" r="4445" b="0"/>
            <wp:wrapSquare wrapText="bothSides"/>
            <wp:docPr id="311" name="25xst2-51.jpg" descr="id:21475108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25xst2-51.jpg" descr="id:2147510863;FounderCE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（2024·沈阳一模）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如图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一高为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H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且装满水的鱼缸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其底部有一排水小孔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当小孔打开时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水从孔中匀速流出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水流完所用时间为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宋体" w:hAnsi="Courier New" w:eastAsia="Times New Roman" w:cs="Courier New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若鱼缸水深为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h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时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水流出所用时间为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则函数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的图象大致是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　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)</w:t>
      </w:r>
    </w:p>
    <w:p>
      <w:pPr>
        <w:widowControl w:val="0"/>
        <w:tabs>
          <w:tab w:val="left" w:pos="4320"/>
        </w:tabs>
        <w:snapToGrid w:val="0"/>
        <w:spacing w:line="360" w:lineRule="auto"/>
        <w:ind w:firstLine="525" w:firstLineChars="25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714375" cy="819150"/>
            <wp:effectExtent l="0" t="0" r="9525" b="0"/>
            <wp:docPr id="27" name="25xst2-52两排.jpg" descr="id:2147510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5xst2-52两排.jpg" descr="id:2147510870;FounderCES"/>
                    <pic:cNvPicPr>
                      <a:picLocks noChangeAspect="1"/>
                    </pic:cNvPicPr>
                  </pic:nvPicPr>
                  <pic:blipFill>
                    <a:blip r:embed="rId6"/>
                    <a:srcRect l="395" r="65263" b="52800"/>
                    <a:stretch>
                      <a:fillRect/>
                    </a:stretch>
                  </pic:blipFill>
                  <pic:spPr>
                    <a:xfrm>
                      <a:off x="0" y="0"/>
                      <a:ext cx="715131" cy="8200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690880" cy="819150"/>
            <wp:effectExtent l="0" t="0" r="13970" b="0"/>
            <wp:docPr id="23" name="25xst2-52两排.jpg" descr="id:2147510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5xst2-52两排.jpg" descr="id:2147510870;FounderCES"/>
                    <pic:cNvPicPr>
                      <a:picLocks noChangeAspect="1"/>
                    </pic:cNvPicPr>
                  </pic:nvPicPr>
                  <pic:blipFill>
                    <a:blip r:embed="rId6"/>
                    <a:srcRect l="66789" r="-1" b="52800"/>
                    <a:stretch>
                      <a:fillRect/>
                    </a:stretch>
                  </pic:blipFill>
                  <pic:spPr>
                    <a:xfrm>
                      <a:off x="0" y="0"/>
                      <a:ext cx="691611" cy="8200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685800" cy="822325"/>
            <wp:effectExtent l="0" t="0" r="0" b="15875"/>
            <wp:docPr id="26" name="25xst2-52两排.jpg" descr="id:2147510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5xst2-52两排.jpg" descr="id:2147510870;FounderCES"/>
                    <pic:cNvPicPr>
                      <a:picLocks noChangeAspect="1"/>
                    </pic:cNvPicPr>
                  </pic:nvPicPr>
                  <pic:blipFill>
                    <a:blip r:embed="rId6"/>
                    <a:srcRect t="52638" r="67046"/>
                    <a:stretch>
                      <a:fillRect/>
                    </a:stretch>
                  </pic:blipFill>
                  <pic:spPr>
                    <a:xfrm>
                      <a:off x="0" y="0"/>
                      <a:ext cx="686244" cy="8228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699770" cy="822325"/>
            <wp:effectExtent l="0" t="0" r="5080" b="15875"/>
            <wp:docPr id="24" name="25xst2-52两排.jpg" descr="id:2147510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5xst2-52两排.jpg" descr="id:2147510870;FounderCES"/>
                    <pic:cNvPicPr>
                      <a:picLocks noChangeAspect="1"/>
                    </pic:cNvPicPr>
                  </pic:nvPicPr>
                  <pic:blipFill>
                    <a:blip r:embed="rId6"/>
                    <a:srcRect l="66367" t="52638"/>
                    <a:stretch>
                      <a:fillRect/>
                    </a:stretch>
                  </pic:blipFill>
                  <pic:spPr>
                    <a:xfrm>
                      <a:off x="0" y="0"/>
                      <a:ext cx="700382" cy="8228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4320"/>
        </w:tabs>
        <w:snapToGrid w:val="0"/>
        <w:spacing w:line="360" w:lineRule="auto"/>
        <w:ind w:left="424" w:leftChars="1" w:hanging="422" w:hangingChars="201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的半衰期为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5 730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年(是指经过5 730年后，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的残余量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占原始量的一半)．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的原始量为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，经过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年后的残余量为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，残余量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与原始量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的关系为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kx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，其中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表示经过的时间，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为一个常数．现测得湖南长沙马王堆汉墓女尸出土时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的残余量约占原始量的76.7</w: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t>%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.请你推断一下马王堆汉墓修建距今约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年．(参考数据：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0.767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－0.4)．</w:t>
      </w: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color w:val="000000"/>
          <w:szCs w:val="21"/>
        </w:rPr>
      </w:pPr>
      <w:r>
        <w:rPr>
          <w:rFonts w:hint="eastAsia" w:ascii="新宋体" w:hAnsi="新宋体" w:eastAsia="新宋体"/>
          <w:color w:val="000000"/>
        </w:rPr>
        <w:t>例3</w:t>
      </w:r>
      <w:r>
        <w:rPr>
          <w:rFonts w:ascii="新宋体" w:hAnsi="新宋体" w:eastAsia="新宋体"/>
          <w:color w:val="000000"/>
        </w:rPr>
        <w:t>.</w:t>
      </w:r>
      <w:r>
        <w:rPr>
          <w:rFonts w:ascii="隶书" w:hAnsi="宋体" w:eastAsia="隶书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（2024·合肥模拟）</w:t>
      </w:r>
      <w:r>
        <w:rPr>
          <w:color w:val="000000"/>
          <w:szCs w:val="21"/>
        </w:rPr>
        <w:t>随着我国经济发展、医疗消费需求增长、人们健康观念转变以及人口老龄化进程加快等影响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医疗器械市场近年来一直保持了持续增长的趋势</w:t>
      </w:r>
      <w:r>
        <w:rPr>
          <w:rFonts w:eastAsia="Times New Roman"/>
          <w:color w:val="000000"/>
          <w:szCs w:val="21"/>
        </w:rPr>
        <w:t>.</w:t>
      </w:r>
      <w:r>
        <w:rPr>
          <w:color w:val="000000"/>
          <w:szCs w:val="21"/>
        </w:rPr>
        <w:t>某医疗器械公司为了进一步增加市场力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计划改进技术生产某产品</w:t>
      </w:r>
      <w:r>
        <w:rPr>
          <w:rFonts w:eastAsia="Times New Roman"/>
          <w:color w:val="000000"/>
          <w:szCs w:val="21"/>
        </w:rPr>
        <w:t>.</w:t>
      </w:r>
      <w:r>
        <w:rPr>
          <w:color w:val="000000"/>
          <w:szCs w:val="21"/>
        </w:rPr>
        <w:t>已知生产该产品的年固定成本为</w:t>
      </w:r>
      <w:r>
        <w:rPr>
          <w:rFonts w:eastAsia="Times New Roman"/>
          <w:color w:val="000000"/>
          <w:szCs w:val="21"/>
        </w:rPr>
        <w:t>300</w:t>
      </w:r>
      <w:r>
        <w:rPr>
          <w:color w:val="000000"/>
          <w:szCs w:val="21"/>
        </w:rPr>
        <w:t>万元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最大产能为</w:t>
      </w:r>
      <w:r>
        <w:rPr>
          <w:rFonts w:eastAsia="Times New Roman"/>
          <w:color w:val="000000"/>
          <w:szCs w:val="21"/>
        </w:rPr>
        <w:t>100</w:t>
      </w:r>
      <w:r>
        <w:rPr>
          <w:color w:val="000000"/>
          <w:szCs w:val="21"/>
        </w:rPr>
        <w:t>台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每生产</w:t>
      </w:r>
      <w:r>
        <w:rPr>
          <w:rFonts w:eastAsia="Times New Roman"/>
          <w:i/>
          <w:color w:val="000000"/>
          <w:szCs w:val="21"/>
        </w:rPr>
        <w:t>x</w:t>
      </w:r>
      <w:r>
        <w:rPr>
          <w:color w:val="000000"/>
          <w:szCs w:val="21"/>
        </w:rPr>
        <w:t>台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需另投入成本</w:t>
      </w:r>
      <w:r>
        <w:rPr>
          <w:rFonts w:eastAsia="Times New Roman"/>
          <w:i/>
          <w:color w:val="000000"/>
          <w:szCs w:val="21"/>
        </w:rPr>
        <w:t>G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万元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且</w:t>
      </w:r>
    </w:p>
    <w:p>
      <w:pPr>
        <w:tabs>
          <w:tab w:val="left" w:pos="2977"/>
        </w:tabs>
        <w:overflowPunct w:val="0"/>
        <w:snapToGrid w:val="0"/>
        <w:spacing w:line="312" w:lineRule="auto"/>
        <w:jc w:val="center"/>
        <w:rPr>
          <w:rFonts w:ascii="宋体" w:hAnsi="宋体"/>
          <w:color w:val="000000"/>
          <w:szCs w:val="21"/>
        </w:rPr>
      </w:pPr>
      <w:r>
        <w:rPr>
          <w:rFonts w:eastAsia="Times New Roman"/>
          <w:i/>
          <w:color w:val="000000"/>
          <w:szCs w:val="21"/>
        </w:rPr>
        <w:t>G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）＝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mPr>
              <m:mr>
                <m:e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e>
                    <m:sup>
                      <m:r>
                        <m:rPr/>
                        <w:rPr>
                          <w:rFonts w:ascii="Cambria Math"/>
                          <w:color w:val="000000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1"/>
                    </w:rPr>
                    <m:t>+80</m:t>
                  </m:r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ascii="Cambria Math"/>
                      <w:b w:val="0"/>
                      <w:i w:val="0"/>
                      <w:color w:val="000000"/>
                      <w:szCs w:val="21"/>
                    </w:rPr>
                    <m:t>，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0&lt;</m:t>
                  </m:r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x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≤40</m:t>
                  </m:r>
                  <m:r>
                    <m:rPr>
                      <m:nor/>
                      <m:sty m:val="p"/>
                    </m:rPr>
                    <w:rPr>
                      <w:rFonts w:ascii="Cambria Math"/>
                      <w:b w:val="0"/>
                      <w:i w:val="0"/>
                      <w:color w:val="000000"/>
                      <w:szCs w:val="21"/>
                    </w:rPr>
                    <m:t>，</m:t>
                  </m: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201</m:t>
                  </m:r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1"/>
                    </w:rPr>
                    <m:t>＋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fPr>
                    <m:num>
                      <m:r>
                        <m:rPr/>
                        <w:rPr>
                          <w:rFonts w:ascii="Cambria Math"/>
                          <w:color w:val="000000"/>
                          <w:szCs w:val="21"/>
                        </w:rPr>
                        <m:t>3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/>
                          <w:b w:val="0"/>
                          <w:i w:val="0"/>
                          <w:color w:val="000000"/>
                          <w:szCs w:val="21"/>
                        </w:rPr>
                        <m:t xml:space="preserve"> </m:t>
                      </m:r>
                      <m:r>
                        <m:rPr/>
                        <w:rPr>
                          <w:rFonts w:ascii="Cambria Math"/>
                          <w:color w:val="000000"/>
                          <w:szCs w:val="21"/>
                        </w:rPr>
                        <m:t>600</m:t>
                      </m: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color w:val="000000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color w:val="000000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1"/>
                    </w:rPr>
                    <m:t>－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2</m:t>
                  </m:r>
                  <m:r>
                    <m:rPr>
                      <m:nor/>
                      <m:sty m:val="p"/>
                    </m:rPr>
                    <w:rPr>
                      <w:rFonts w:ascii="Cambria Math"/>
                      <w:b w:val="0"/>
                      <w:i w:val="0"/>
                      <w:color w:val="000000"/>
                      <w:szCs w:val="21"/>
                    </w:rPr>
                    <m:t xml:space="preserve"> 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100</m:t>
                  </m:r>
                  <m:r>
                    <m:rPr>
                      <m:nor/>
                      <m:sty m:val="p"/>
                    </m:rPr>
                    <w:rPr>
                      <w:rFonts w:ascii="Cambria Math"/>
                      <w:b w:val="0"/>
                      <w:i w:val="0"/>
                      <w:color w:val="000000"/>
                      <w:szCs w:val="21"/>
                    </w:rPr>
                    <m:t>，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40&lt;</m:t>
                  </m:r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x</m:t>
                  </m:r>
                  <m:r>
                    <m:rPr/>
                    <w:rPr>
                      <w:rFonts w:ascii="Cambria Math"/>
                      <w:color w:val="000000"/>
                      <w:szCs w:val="21"/>
                    </w:rPr>
                    <m:t>≤100</m:t>
                  </m:r>
                  <m:r>
                    <m:rPr>
                      <m:nor/>
                      <m:sty m:val="p"/>
                    </m:rPr>
                    <w:rPr>
                      <w:rFonts w:ascii="Cambria Math"/>
                      <w:b w:val="0"/>
                      <w:i w:val="0"/>
                      <w:color w:val="000000"/>
                      <w:szCs w:val="21"/>
                    </w:rPr>
                    <m:t>，</m:t>
                  </m:r>
                  <m:ctrlPr>
                    <w:rPr>
                      <w:rFonts w:ascii="Cambria Math" w:hAnsi="Cambria Math"/>
                      <w:color w:val="000000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/>
                <w:color w:val="000000"/>
                <w:szCs w:val="21"/>
              </w:rPr>
            </m:ctrlPr>
          </m:e>
        </m:d>
      </m:oMath>
    </w:p>
    <w:p>
      <w:pPr>
        <w:tabs>
          <w:tab w:val="left" w:pos="2977"/>
        </w:tabs>
        <w:overflowPunct w:val="0"/>
        <w:snapToGrid w:val="0"/>
        <w:spacing w:line="31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由市场调研知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该产品每台的售价为</w:t>
      </w:r>
      <w:r>
        <w:rPr>
          <w:rFonts w:eastAsia="Times New Roman"/>
          <w:color w:val="000000"/>
          <w:szCs w:val="21"/>
        </w:rPr>
        <w:t>200</w:t>
      </w:r>
      <w:r>
        <w:rPr>
          <w:color w:val="000000"/>
          <w:szCs w:val="21"/>
        </w:rPr>
        <w:t>万元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且全年内生产的该产品当年能全部销售完</w:t>
      </w:r>
      <w:r>
        <w:rPr>
          <w:rFonts w:eastAsia="Times New Roman"/>
          <w:color w:val="000000"/>
          <w:szCs w:val="21"/>
        </w:rPr>
        <w:t>.</w:t>
      </w:r>
    </w:p>
    <w:p>
      <w:pPr>
        <w:tabs>
          <w:tab w:val="left" w:pos="2977"/>
        </w:tabs>
        <w:overflowPunct w:val="0"/>
        <w:snapToGrid w:val="0"/>
        <w:spacing w:line="312" w:lineRule="auto"/>
        <w:ind w:firstLine="420" w:firstLineChars="200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写出年利润</w:t>
      </w:r>
      <w:r>
        <w:rPr>
          <w:rFonts w:eastAsia="Times New Roman"/>
          <w:i/>
          <w:color w:val="000000"/>
          <w:szCs w:val="21"/>
        </w:rPr>
        <w:t>W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万元关于年产量</w:t>
      </w:r>
      <w:r>
        <w:rPr>
          <w:rFonts w:eastAsia="Times New Roman"/>
          <w:i/>
          <w:color w:val="000000"/>
          <w:szCs w:val="21"/>
        </w:rPr>
        <w:t>x</w:t>
      </w:r>
      <w:r>
        <w:rPr>
          <w:color w:val="000000"/>
          <w:szCs w:val="21"/>
        </w:rPr>
        <w:t>台的函数解析式</w:t>
      </w:r>
      <w:r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利润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销售收入</w:t>
      </w:r>
      <w:r>
        <w:rPr>
          <w:rFonts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成本</w:t>
      </w:r>
      <w:r>
        <w:rPr>
          <w:rFonts w:ascii="宋体" w:hAnsi="宋体"/>
          <w:color w:val="000000"/>
          <w:szCs w:val="21"/>
        </w:rPr>
        <w:t>）；</w:t>
      </w:r>
    </w:p>
    <w:p>
      <w:pPr>
        <w:tabs>
          <w:tab w:val="left" w:pos="2977"/>
        </w:tabs>
        <w:overflowPunct w:val="0"/>
        <w:snapToGrid w:val="0"/>
        <w:spacing w:line="312" w:lineRule="auto"/>
        <w:ind w:firstLine="420" w:firstLineChars="200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当该产品的年产量为多少时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公司所获利润最大</w:t>
      </w:r>
      <w:r>
        <w:rPr>
          <w:rFonts w:ascii="宋体" w:hAnsi="宋体"/>
          <w:color w:val="000000"/>
          <w:szCs w:val="21"/>
        </w:rPr>
        <w:t>？</w:t>
      </w:r>
      <w:r>
        <w:rPr>
          <w:color w:val="000000"/>
          <w:szCs w:val="21"/>
        </w:rPr>
        <w:t>最大利润是多少</w:t>
      </w:r>
      <w:r>
        <w:rPr>
          <w:rFonts w:ascii="宋体" w:hAnsi="宋体"/>
          <w:color w:val="000000"/>
          <w:szCs w:val="21"/>
        </w:rPr>
        <w:t>？</w:t>
      </w:r>
    </w:p>
    <w:p>
      <w:pPr>
        <w:widowControl w:val="0"/>
        <w:tabs>
          <w:tab w:val="left" w:pos="4320"/>
        </w:tabs>
        <w:snapToGrid w:val="0"/>
        <w:ind w:left="424" w:leftChars="1" w:hanging="422" w:hangingChars="201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ind w:left="424" w:hanging="424" w:hangingChars="20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例4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候鸟每年都要随季节的变化进行大规模的迁徙，研究某种鸟类的专家发现，该种鸟类的飞行速度</w:t>
      </w:r>
      <w:r>
        <w:rPr>
          <w:rFonts w:ascii="Book Antiqua" w:hAnsi="Book Antiqua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(单位：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m/s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)与其耗氧量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之间的关系为：</w:t>
      </w:r>
      <w:r>
        <w:rPr>
          <w:rFonts w:ascii="Book Antiqua" w:hAnsi="Book Antiqua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log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eq \f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(</w:instrTex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Q,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10)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(其中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是实数)．据统计，该种鸟类在静止的时候其耗氧量为30个单位，而其耗氧量为90个单位时，其飞行速度为1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m/s.</w:t>
      </w:r>
    </w:p>
    <w:p>
      <w:pPr>
        <w:widowControl w:val="0"/>
        <w:tabs>
          <w:tab w:val="left" w:pos="4320"/>
        </w:tabs>
        <w:snapToGrid w:val="0"/>
        <w:ind w:left="424" w:leftChars="200" w:hanging="4" w:hangingChars="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(1)求出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的值；</w:t>
      </w:r>
    </w:p>
    <w:p>
      <w:pPr>
        <w:widowControl w:val="0"/>
        <w:tabs>
          <w:tab w:val="left" w:pos="4320"/>
        </w:tabs>
        <w:snapToGrid w:val="0"/>
        <w:ind w:left="424" w:leftChars="200" w:hanging="4" w:hangingChars="2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(2)若这种鸟类为赶路程，飞行的速度不能低于2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m/s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，则其耗氧量至少要多少个单位？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52CE8"/>
    <w:multiLevelType w:val="multilevel"/>
    <w:tmpl w:val="22652CE8"/>
    <w:lvl w:ilvl="0" w:tentative="0">
      <w:start w:val="1"/>
      <w:numFmt w:val="decimal"/>
      <w:lvlText w:val="例%1."/>
      <w:lvlJc w:val="left"/>
      <w:pPr>
        <w:ind w:left="720" w:hanging="720"/>
      </w:pPr>
      <w:rPr>
        <w:rFonts w:hint="default" w:ascii="新宋体" w:hAnsi="新宋体" w:eastAsia="新宋体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63D2557E"/>
    <w:rsid w:val="63D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2024-09-20T06:07:00Z</dcterms:created>
  <dc:creator>不明喜哀</dc:creator>
  <cp:lastModifiedBy>不明喜哀</cp:lastModifiedBy>
  <dcterms:modified xsi:type="dcterms:W3CDTF">2024-09-20T06:07:34Z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0D59E52D1878438AA0004CB4A8BBEC15</vt:lpwstr>
  </property>
</Properties>
</file>