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2023～2024学年高三第一学期学情调研考试(二十)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地　　理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(满分：100分　考试时间：75分钟)</w:t>
      </w:r>
    </w:p>
    <w:p>
      <w:pPr>
        <w:pStyle w:val="10"/>
        <w:ind w:firstLine="420" w:firstLineChars="200"/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2024．1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一、 单项选择题：在每小题给出的四个选项中，只有一项是最符合题目要求的。(本大题共22小题，每小题2分，共44分)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2023年12月12日，我国某乡村中学地理兴趣小组开展太阳方位观测活动。下图为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该小组绘制的当日日落时太阳位置示意图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。据此完成1～3题。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5" o:spt="75" type="#_x0000_t75" style="height:144.6pt;width:191.8pt;" filled="f" o:preferrelative="t" stroked="f" coordsize="21600,21600">
            <v:path/>
            <v:fill on="f" focussize="0,0"/>
            <v:stroke on="f" joinstyle="miter"/>
            <v:imagedata r:id="rId5" r:href="rId6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该校最可能位于(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北京　    B. 杭州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成都　    D. 哈尔滨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该日，教学楼沐浴阳光的时长约为(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8小时　    B. 10小时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12小时　    D. 14小时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该日后一个月，α角(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一直变小　    B. 先变小后变大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一直变大　    D. 先变大后变小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甲岩石形成于海滩环境，乙、丙岩石形成于浅海环境，但丙较乙需要更深的海洋环境。下图为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5.05亿年前美国科罗拉多大峡谷地区的地质剖面示意图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。据此完成4～6题。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6" o:spt="75" type="#_x0000_t75" style="height:70.85pt;width:239.05pt;" filled="f" o:preferrelative="t" stroked="f" coordsize="21600,21600">
            <v:path/>
            <v:fill on="f" focussize="0,0"/>
            <v:stroke on="f" joinstyle="miter"/>
            <v:imagedata r:id="rId7" r:href="rId8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甲、乙、丙分别为(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石灰岩、页岩、砂岩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砂岩、页岩、石灰岩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石灰岩、砂岩、页岩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页岩、石灰岩、砂岩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该剖面沉积岩中，年龄最老的是(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hAnsi="宋体" w:cs="Times New Roman"/>
        </w:rPr>
        <w:t>①</w:t>
      </w:r>
      <w:r>
        <w:rPr>
          <w:rFonts w:ascii="Times New Roman" w:hAnsi="Times New Roman" w:cs="Times New Roman"/>
        </w:rPr>
        <w:t xml:space="preserve">　    B. </w:t>
      </w:r>
      <w:r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　    C. 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　    D. </w:t>
      </w:r>
      <w:r>
        <w:rPr>
          <w:rFonts w:hAnsi="宋体" w:cs="Times New Roman"/>
        </w:rPr>
        <w:t>④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6. 推测在该剖面沉积岩形成过程中，当地海平面(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呈上升趋势　    B. 呈下降趋势　    C. 先升后降　    D. 先降后升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舟山海域的海水理化性质变化复杂。下图为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舟山局部</w:t>
      </w:r>
      <w:r>
        <w:rPr>
          <w:rFonts w:hint="eastAsia" w:ascii="Times New Roman" w:hAnsi="Times New Roman" w:eastAsia="华文楷体" w:cs="Times New Roman"/>
        </w:rPr>
        <w:t>海域某年</w:t>
      </w:r>
      <w:r>
        <w:rPr>
          <w:rFonts w:ascii="Times New Roman" w:hAnsi="Times New Roman" w:eastAsia="华文楷体" w:cs="Times New Roman"/>
        </w:rPr>
        <w:t>7月表层海水温度分布图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。据此完成7～9题。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7" o:spt="75" type="#_x0000_t75" style="height:121.55pt;width:342.15pt;" filled="f" o:preferrelative="t" stroked="f" coordsize="21600,21600">
            <v:path/>
            <v:fill on="f" focussize="0,0"/>
            <v:stroke on="f" joinstyle="miter"/>
            <v:imagedata r:id="rId9" r:href="rId10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7. 与M—N沿线表层海水温度变化相符的示意图是(　　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8" o:spt="75" type="#_x0000_t75" style="height:96.75pt;width:419.9pt;" filled="f" o:preferrelative="t" stroked="f" coordsize="21600,21600">
            <v:path/>
            <v:fill on="f" focussize="0,0"/>
            <v:stroke on="f" joinstyle="miter"/>
            <v:imagedata r:id="rId11" r:href="rId12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8. 该月，观测海域的表层海水温度高值区出现在西北部，主要影响因素是(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天气状况　    B. 陆地径流　    C. 水域深度　    D. 暖流流经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9. 研究该海域温度变化主要服务于(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渔业生态　    B. 海水淡化　    C. 海洋航行　    D. 海盐生产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如图为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某月7日某时刻澳大利亚及其周边地区海平面天气图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。据此完成10～12题。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29" o:spt="75" type="#_x0000_t75" style="height:155.5pt;width:232.7pt;" filled="f" o:preferrelative="t" stroked="f" coordsize="21600,21600">
            <v:path/>
            <v:fill on="f" focussize="0,0"/>
            <v:stroke on="f" joinstyle="miter"/>
            <v:imagedata r:id="rId13" r:href="rId14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10. 该月最可能为(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 2月　    B. 5月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7月　    D. 10月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11. 此刻影响甲地的气团性质是(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冷干　    B. 冷湿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暖干　    D. 暖湿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12. 推测乙地将经历(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连续降水　    B. 狂风暴雪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沙尘肆虐</w:t>
      </w:r>
      <w:r>
        <w:rPr>
          <w:rFonts w:hint="eastAsia" w:ascii="Times New Roman" w:hAnsi="Times New Roman" w:cs="Times New Roman"/>
        </w:rPr>
        <w:t>　</w:t>
      </w:r>
      <w:r>
        <w:rPr>
          <w:rFonts w:ascii="Times New Roman" w:hAnsi="Times New Roman" w:cs="Times New Roman"/>
        </w:rPr>
        <w:t xml:space="preserve">    D. 阴雨降温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我国南方山区某河上游水土流失严重，该河水位季节变化大，洪水暴涨暴落，部分河段发育了宽阔的河漫滩。下图为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该河某河漫滩表土粒径构成与有机质含量分布示意图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。据此完成13～14题。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0" o:spt="75" type="#_x0000_t75" style="height:134.8pt;width:325.45pt;" filled="f" o:preferrelative="t" stroked="f" coordsize="21600,21600">
            <v:path/>
            <v:fill on="f" focussize="0,0"/>
            <v:stroke on="f" joinstyle="miter"/>
            <v:imagedata r:id="rId15" r:href="rId16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13. 影响河漫滩不同部位表土粒径构成差异的主要因素是(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水文　    B. 坡度　    C. 生物　    D. 时间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14. 砂砾石滩有机质的主要来源是(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原地植物残体　    B. </w:t>
      </w:r>
      <w:r>
        <w:rPr>
          <w:rFonts w:hint="eastAsia" w:ascii="Times New Roman" w:hAnsi="Times New Roman" w:cs="Times New Roman"/>
        </w:rPr>
        <w:t>草地土壤淋溶　</w:t>
      </w:r>
      <w:r>
        <w:rPr>
          <w:rFonts w:ascii="Times New Roman" w:hAnsi="Times New Roman" w:cs="Times New Roman"/>
        </w:rPr>
        <w:t xml:space="preserve">    C. 成土母质分解　    D. 河川径流沉积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稳定和适当提升水稻种植面积是保证国家粮食安全的重要路径之一。江苏省从20世纪50年代开始在苏北推行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旱改水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耕作制度改革，将旱地改为水田。下图为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1992—2021年江苏及省内三大区域水稻种植面积统计图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。据此完成15～17题。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1" o:spt="75" type="#_x0000_t75" style="height:160.15pt;width:269.55pt;" filled="f" o:preferrelative="t" stroked="f" coordsize="21600,21600">
            <v:path/>
            <v:fill on="f" focussize="0,0"/>
            <v:stroke on="f" joinstyle="miter"/>
            <v:imagedata r:id="rId17" r:href="rId18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15. 代表苏北、苏中、苏南地区的曲线依次为(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A. </w:t>
      </w:r>
      <w:r>
        <w:rPr>
          <w:rFonts w:hAnsi="宋体" w:cs="Times New Roman"/>
        </w:rPr>
        <w:t>①②③</w:t>
      </w:r>
      <w:r>
        <w:rPr>
          <w:rFonts w:ascii="Times New Roman" w:hAnsi="Times New Roman" w:cs="Times New Roman"/>
        </w:rPr>
        <w:t xml:space="preserve">　    B. </w:t>
      </w:r>
      <w:r>
        <w:rPr>
          <w:rFonts w:hAnsi="宋体" w:cs="Times New Roman"/>
        </w:rPr>
        <w:t>①③②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C. </w:t>
      </w:r>
      <w:r>
        <w:rPr>
          <w:rFonts w:hAnsi="宋体" w:cs="Times New Roman"/>
        </w:rPr>
        <w:t>②①③</w:t>
      </w:r>
      <w:r>
        <w:rPr>
          <w:rFonts w:ascii="Times New Roman" w:hAnsi="Times New Roman" w:cs="Times New Roman"/>
        </w:rPr>
        <w:t xml:space="preserve">　    D. </w:t>
      </w:r>
      <w:r>
        <w:rPr>
          <w:rFonts w:hAnsi="宋体" w:cs="Times New Roman"/>
        </w:rPr>
        <w:t>③②①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16. </w:t>
      </w:r>
      <w:r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>地水稻种植面积变化的主要原因是　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农业政策调整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B. 劳力价格上涨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C. 产业结构调整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D. 调水工程实施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17. 苏中、苏北地区进一步扩大稻田面积的有效途径是(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缓坡修筑水田　    B. 改良滨海盐土　    C. 开垦河湖滩地　  D. 复垦矿区土地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某连锁品牌书店原主要布局在机场，其主营图书类别为商业财经、社科人文和少儿类等。近年来，该品牌书店部分机场店关闭，而城市店越来越多，致力于打造成书店、咖啡馆</w:t>
      </w:r>
      <w:r>
        <w:rPr>
          <w:rFonts w:hint="eastAsia" w:ascii="Times New Roman" w:hAnsi="Times New Roman" w:eastAsia="华文楷体" w:cs="Times New Roman"/>
        </w:rPr>
        <w:t>、创意礼品店等为一体的文化生活空间。据此完成</w:t>
      </w:r>
      <w:r>
        <w:rPr>
          <w:rFonts w:ascii="Times New Roman" w:hAnsi="Times New Roman" w:eastAsia="华文楷体" w:cs="Times New Roman"/>
        </w:rPr>
        <w:t>18～19题。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18. 该品牌书店在市区布局的优选场所是(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住宅小区　    B. 高端写字楼　    C. 工业园区　    D. 仓储式超市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19. 影响该品牌书店布局变化的主导因素是(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交通状况　    B. 市场需求　    C. 人口规模　    D. 发展空间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华文楷体" w:cs="Times New Roman"/>
        </w:rPr>
        <w:t>太行山中部西麓的某传统村落形成于秦汉时期，该时期民居为简易的窑洞。后来该村落选址与民居形式均发生了较大变化。下图为</w:t>
      </w:r>
      <w:r>
        <w:rPr>
          <w:rFonts w:hAnsi="宋体" w:cs="Times New Roman"/>
        </w:rPr>
        <w:t>“</w:t>
      </w:r>
      <w:r>
        <w:rPr>
          <w:rFonts w:hint="eastAsia" w:ascii="Times New Roman" w:hAnsi="Times New Roman" w:eastAsia="华文楷体" w:cs="Times New Roman"/>
        </w:rPr>
        <w:t>该传统村落空间格局演化示意图</w:t>
      </w:r>
      <w:r>
        <w:rPr>
          <w:rFonts w:hint="eastAsia" w:hAnsi="宋体" w:cs="Times New Roman"/>
        </w:rPr>
        <w:t>”</w:t>
      </w:r>
      <w:r>
        <w:rPr>
          <w:rFonts w:hint="eastAsia" w:ascii="Times New Roman" w:hAnsi="Times New Roman" w:eastAsia="华文楷体" w:cs="Times New Roman"/>
        </w:rPr>
        <w:t>。据此完成</w:t>
      </w:r>
      <w:r>
        <w:rPr>
          <w:rFonts w:ascii="Times New Roman" w:hAnsi="Times New Roman" w:eastAsia="华文楷体" w:cs="Times New Roman"/>
        </w:rPr>
        <w:t>20～22题。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2" o:spt="75" type="#_x0000_t75" style="height:235pt;width:337.55pt;" filled="f" o:preferrelative="t" stroked="f" coordsize="21600,21600">
            <v:path/>
            <v:fill on="f" focussize="0,0"/>
            <v:stroke on="f" joinstyle="miter"/>
            <v:imagedata r:id="rId19" r:href="rId20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20. 该村落形成初期选址于(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山前冲积扇　    B. 河流凸岸　    C. 河漫滩平原　    D. 山麓缓坡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21. 与明清时期相比，村落形成之初的选址有利于(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田间管理　    B. 防洪避险　    C. 节省建材　    D. 抵御寒潮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22. 导致该村落选址变化的主要因素是(　　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A. 灾害　    B. 土地　    C. 水源　    D. 交通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二、 非选择题：共3题，共56分。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23. 阅读材料，回答下列问题。(18分)</w:t>
      </w:r>
    </w:p>
    <w:p>
      <w:pPr>
        <w:pStyle w:val="10"/>
        <w:ind w:firstLine="420" w:firstLineChars="200"/>
        <w:rPr>
          <w:rFonts w:ascii="Times New Roman" w:hAnsi="Times New Roman" w:eastAsia="华文楷体" w:cs="Times New Roman"/>
        </w:rPr>
      </w:pPr>
      <w:r>
        <w:rPr>
          <w:rFonts w:ascii="Times New Roman" w:hAnsi="Times New Roman" w:eastAsia="黑体" w:cs="Times New Roman"/>
        </w:rPr>
        <w:t>材料一</w:t>
      </w:r>
      <w:r>
        <w:rPr>
          <w:rFonts w:ascii="Times New Roman" w:hAnsi="Times New Roman" w:eastAsia="华文楷体" w:cs="Times New Roman"/>
        </w:rPr>
        <w:t>　贝加尔湖地处俄罗斯西伯利亚南部，是世界上蓄水量最大、最深的淡水湖。湖泊周边降水量时空分布不均。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</w:t>
      </w:r>
      <w:r>
        <w:rPr>
          <w:rFonts w:ascii="Times New Roman" w:hAnsi="Times New Roman" w:eastAsia="华文楷体" w:cs="Times New Roman"/>
        </w:rPr>
        <w:t>　下左图为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贝加尔湖周边主要气象站年降水量分布示意图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，下右图为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乙站点气候资料统计图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3" o:spt="75" type="#_x0000_t75" style="height:193.55pt;width:328.3pt;" filled="f" o:preferrelative="t" stroked="f" coordsize="21600,21600">
            <v:path/>
            <v:fill on="f" focussize="0,0"/>
            <v:stroke on="f" joinstyle="miter"/>
            <v:imagedata r:id="rId21" r:href="rId22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简述该区域所属的气候类型</w:t>
      </w:r>
      <w:r>
        <w:rPr>
          <w:rFonts w:hint="eastAsia" w:ascii="Times New Roman" w:hAnsi="Times New Roman" w:cs="Times New Roman"/>
        </w:rPr>
        <w:t>及气候特征。(</w:t>
      </w:r>
      <w:r>
        <w:rPr>
          <w:rFonts w:ascii="Times New Roman" w:hAnsi="Times New Roman" w:cs="Times New Roman"/>
        </w:rPr>
        <w:t>8分)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简析该区域冬季降水量特征的成因。(4分)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甲地处湖泊中部，但较湖泊周边气象站年降水量少，请说明其主要原因。(6分)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阅读材料，回答下列问题。(20分)</w:t>
      </w:r>
    </w:p>
    <w:p>
      <w:pPr>
        <w:pStyle w:val="10"/>
        <w:ind w:firstLine="420" w:firstLineChars="200"/>
        <w:rPr>
          <w:rFonts w:hint="eastAsia" w:ascii="Times New Roman" w:hAnsi="Times New Roman" w:eastAsia="华文楷体" w:cs="Times New Roman"/>
        </w:rPr>
      </w:pPr>
      <w:r>
        <w:rPr>
          <w:rFonts w:ascii="Times New Roman" w:hAnsi="Times New Roman" w:eastAsia="黑体" w:cs="Times New Roman"/>
        </w:rPr>
        <w:t>材料一</w:t>
      </w:r>
      <w:r>
        <w:rPr>
          <w:rFonts w:ascii="Times New Roman" w:hAnsi="Times New Roman" w:eastAsia="华文楷体" w:cs="Times New Roman"/>
        </w:rPr>
        <w:t>　万朝镇位于重庆石柱土家族自治县，是武陵山土家族文化与长江汉族文化的交融地带。镇域内地势起伏大，立体气候显著。该镇森林资源与煤炭等矿产资源丰富，煤炭产业曾是其主导产业。2014年重庆市出台淘汰落后产能促进环保的政策。2016年，该镇煤矿被全部关停，成为</w:t>
      </w:r>
      <w:r>
        <w:rPr>
          <w:rFonts w:hint="eastAsia" w:ascii="Times New Roman" w:hAnsi="Times New Roman" w:eastAsia="华文楷体" w:cs="Times New Roman"/>
        </w:rPr>
        <w:t>典型的收缩型城镇。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</w:t>
      </w:r>
      <w:r>
        <w:rPr>
          <w:rFonts w:ascii="Times New Roman" w:hAnsi="Times New Roman" w:eastAsia="华文楷体" w:cs="Times New Roman"/>
        </w:rPr>
        <w:t>　下左图为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万朝镇位置示意图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，下右图为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万朝镇2010年和2020年户籍人口和常住人口统计图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4" o:spt="75" type="#_x0000_t75" style="height:182pt;width:398.6pt;" filled="f" o:preferrelative="t" stroked="f" coordsize="21600,21600">
            <v:path/>
            <v:fill on="f" focussize="0,0"/>
            <v:stroke on="f" joinstyle="miter"/>
            <v:imagedata r:id="rId23" r:href="rId24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简述万朝镇2020年较2010年人口变化的特点及主要影响因素。(6分)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简述目前万朝镇产业转型面临的主要困境。(8分)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有人提出发展旅游业是万朝镇产业转型的重要途径，请结合当地资源禀赋说明其合理性。(6分)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25. </w:t>
      </w:r>
      <w:r>
        <w:rPr>
          <w:rFonts w:hint="eastAsia" w:ascii="Times New Roman" w:hAnsi="Times New Roman" w:cs="Times New Roman"/>
        </w:rPr>
        <w:t>阅读材料，回答下列问题。(</w:t>
      </w:r>
      <w:r>
        <w:rPr>
          <w:rFonts w:ascii="Times New Roman" w:hAnsi="Times New Roman" w:cs="Times New Roman"/>
        </w:rPr>
        <w:t>18分)</w:t>
      </w:r>
    </w:p>
    <w:p>
      <w:pPr>
        <w:pStyle w:val="10"/>
        <w:ind w:firstLine="420" w:firstLineChars="200"/>
        <w:rPr>
          <w:rFonts w:ascii="Times New Roman" w:hAnsi="Times New Roman" w:eastAsia="华文楷体" w:cs="Times New Roman"/>
        </w:rPr>
      </w:pPr>
      <w:r>
        <w:rPr>
          <w:rFonts w:ascii="Times New Roman" w:hAnsi="Times New Roman" w:eastAsia="黑体" w:cs="Times New Roman"/>
        </w:rPr>
        <w:t>材料一</w:t>
      </w:r>
      <w:r>
        <w:rPr>
          <w:rFonts w:ascii="Times New Roman" w:hAnsi="Times New Roman" w:eastAsia="华文楷体" w:cs="Times New Roman"/>
        </w:rPr>
        <w:t>　西部陆海新通道于2019年上升为国家发展战略。它构建了中国西部向南的出海国际大通道，在广西北部湾港口形成海运枢纽，主要运输方式包括铁海联运、公海联运、江海联运和空运等。在云南、广西的陆上边境实现跨境公路、跨境铁路运输，联通中南半岛国家。2023年，该通道海铁联运班列开行9 580列，货运品类从最初的几十种增加至近千种。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材料二</w:t>
      </w:r>
      <w:r>
        <w:rPr>
          <w:rFonts w:ascii="Times New Roman" w:hAnsi="Times New Roman" w:eastAsia="华文楷体" w:cs="Times New Roman"/>
        </w:rPr>
        <w:t>　下图为</w:t>
      </w:r>
      <w:r>
        <w:rPr>
          <w:rFonts w:hAnsi="宋体" w:cs="Times New Roman"/>
        </w:rPr>
        <w:t>“</w:t>
      </w:r>
      <w:r>
        <w:rPr>
          <w:rFonts w:ascii="Times New Roman" w:hAnsi="Times New Roman" w:eastAsia="华文楷体" w:cs="Times New Roman"/>
        </w:rPr>
        <w:t>西部陆海新通道位置示意图</w:t>
      </w:r>
      <w:r>
        <w:rPr>
          <w:rFonts w:hAnsi="宋体" w:cs="Times New Roman"/>
        </w:rPr>
        <w:t>”</w:t>
      </w:r>
      <w:r>
        <w:rPr>
          <w:rFonts w:ascii="Times New Roman" w:hAnsi="Times New Roman" w:eastAsia="华文楷体" w:cs="Times New Roman"/>
        </w:rPr>
        <w:t>。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 id="_x0000_i1035" o:spt="75" type="#_x0000_t75" style="height:183.75pt;width:246.55pt;" filled="f" o:preferrelative="t" stroked="f" coordsize="21600,21600">
            <v:path/>
            <v:fill on="f" focussize="0,0"/>
            <v:stroke on="f" joinstyle="miter"/>
            <v:imagedata r:id="rId25" r:href="rId26" o:title=""/>
            <o:lock v:ext="edit" aspectratio="t"/>
            <w10:wrap type="none"/>
            <w10:anchorlock/>
          </v:shape>
        </w:pic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列举西部陆海新通道建设对接的国家重大发展战略。(6分)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结合我国西南部交通区位，简析西部陆海新通道建设的必要性。(6分)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说明西部陆海新通道建设对沿线经济发展的意义。(6分)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  <w:r>
        <w:rPr>
          <w:rFonts w:ascii="Times New Roman" w:hAnsi="Times New Roman" w:cs="Times New Roman"/>
        </w:rPr>
        <w:t>2023～2024学年高三第一学期学情调研考试(二十)(南通等六市)</w:t>
      </w:r>
    </w:p>
    <w:p>
      <w:pPr>
        <w:pStyle w:val="10"/>
        <w:ind w:firstLine="420" w:firstLineChars="200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eastAsia="黑体" w:cs="Times New Roman"/>
        </w:rPr>
        <w:t>地理参考答案及评分标准</w:t>
      </w:r>
    </w:p>
    <w:p>
      <w:pPr>
        <w:pStyle w:val="10"/>
        <w:ind w:firstLine="420" w:firstLineChars="200"/>
        <w:rPr>
          <w:rFonts w:ascii="Times New Roman" w:hAnsi="Times New Roman" w:eastAsia="黑体" w:cs="Times New Roman"/>
        </w:rPr>
      </w:pP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C　2. B　3. D　4. B　5. D　6. A　7. C　8. B　9. A　10. A　11. C　12. D　13. A　14. D　15. A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16. C　17. B　18. B　19. B　20. D　21. C　22. D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23. (18分)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温带大陆性气候(2分)　夏季</w:t>
      </w:r>
      <w:r>
        <w:rPr>
          <w:rFonts w:hint="eastAsia" w:ascii="Times New Roman" w:hAnsi="Times New Roman" w:cs="Times New Roman"/>
        </w:rPr>
        <w:t>凉爽，冬季严寒；年降水量较少；</w:t>
      </w:r>
      <w:r>
        <w:rPr>
          <w:rFonts w:ascii="Times New Roman" w:hAnsi="Times New Roman" w:cs="Times New Roman"/>
        </w:rPr>
        <w:t xml:space="preserve"> 主要集中在夏季。(6分)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该地深居内陆，水汽少；冬季受亚洲高压控制，降水少。(4分)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夏季湖泊为冷源；盛行下沉气流；水汽不易凝结。(6分)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24. (20分)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(1) 常住人口数量锐减；户籍人口数量略减(4分)　经济；政策(任答一点得2分)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产业基础薄弱；创新能力不足；人力资源不足；环境质量下降。(8分)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(3) 有立体气候和森林资源，可发展康养产业和避暑游；有少数民族特色文化，可发展民族风情游；有自然风光，可发展山水游；有工业遗址遗迹，可发展工业主</w:t>
      </w:r>
      <w:r>
        <w:rPr>
          <w:rFonts w:hint="eastAsia" w:ascii="Times New Roman" w:hAnsi="Times New Roman" w:cs="Times New Roman"/>
        </w:rPr>
        <w:t>题旅游。(任答三点得</w:t>
      </w:r>
      <w:r>
        <w:rPr>
          <w:rFonts w:ascii="Times New Roman" w:hAnsi="Times New Roman" w:cs="Times New Roman"/>
        </w:rPr>
        <w:t>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25. (18分)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(1) </w:t>
      </w:r>
      <w:r>
        <w:rPr>
          <w:rFonts w:hAnsi="宋体" w:cs="Times New Roman"/>
        </w:rPr>
        <w:t>“</w:t>
      </w:r>
      <w:r>
        <w:rPr>
          <w:rFonts w:ascii="Times New Roman" w:hAnsi="Times New Roman" w:cs="Times New Roman"/>
        </w:rPr>
        <w:t>一带一路</w:t>
      </w:r>
      <w:r>
        <w:rPr>
          <w:rFonts w:hAnsi="宋体" w:cs="Times New Roman"/>
        </w:rPr>
        <w:t>”</w:t>
      </w:r>
      <w:r>
        <w:rPr>
          <w:rFonts w:ascii="Times New Roman" w:hAnsi="Times New Roman" w:cs="Times New Roman"/>
        </w:rPr>
        <w:t>倡议；长江经济带发展战略；西部大开发战略。(6分)</w:t>
      </w:r>
    </w:p>
    <w:p>
      <w:pPr>
        <w:pStyle w:val="10"/>
        <w:ind w:firstLine="420" w:firstLineChars="20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(2) 位于内陆，离出海口远；地形地质复杂，交通通达度差；运输时效低；物流成本高，制约经济发展(任答三点得6分)</w:t>
      </w:r>
    </w:p>
    <w:p>
      <w:pPr>
        <w:pStyle w:val="10"/>
        <w:ind w:firstLine="420" w:firstLineChars="200"/>
        <w:rPr>
          <w:rFonts w:hint="eastAsia" w:ascii="Times New Roman" w:hAnsi="Times New Roman" w:cs="Times New Roman"/>
        </w:rPr>
      </w:pPr>
      <w:r>
        <w:rPr>
          <w:rFonts w:ascii="Times New Roman" w:hAnsi="Times New Roman" w:cs="Times New Roman"/>
        </w:rPr>
        <w:t>(3) 完善运输网，降低物流成本，扩大商品流通；增强区域联系，加快生产要素流动；带动相关产业发展。(6分)　</w:t>
      </w:r>
    </w:p>
    <w:bookmarkEnd w:id="0"/>
    <w:sectPr>
      <w:footerReference r:id="rId3" w:type="default"/>
      <w:pgSz w:w="11906" w:h="16838"/>
      <w:pgMar w:top="1440" w:right="1753" w:bottom="1440" w:left="1753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sz w:val="18"/>
      </w:rPr>
      <w:pict>
        <v:shape id="_x0000_s3073" o:spid="_x0000_s3073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11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hideSpellingErrors/>
  <w:hideGrammaticalErrors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Tk0M2I3ZWY1NjNiMDAxYzIyNmM5NTJlNGRjZTlhZWEifQ=="/>
  </w:docVars>
  <w:rsids>
    <w:rsidRoot w:val="00F31CD0"/>
    <w:rsid w:val="002B7F96"/>
    <w:rsid w:val="006C2720"/>
    <w:rsid w:val="0096634C"/>
    <w:rsid w:val="00F31CD0"/>
    <w:rsid w:val="23C51B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qFormat="1" w:uiPriority="99" w:semiHidden="0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8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9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0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2"/>
    <w:semiHidden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3"/>
    <w:semiHidden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4"/>
    <w:semiHidden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5"/>
    <w:semiHidden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4">
    <w:name w:val="Default Paragraph Font"/>
    <w:semiHidden/>
    <w:unhideWhenUsed/>
    <w:uiPriority w:val="1"/>
  </w:style>
  <w:style w:type="table" w:default="1" w:styleId="1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Plain Text"/>
    <w:basedOn w:val="1"/>
    <w:link w:val="15"/>
    <w:autoRedefine/>
    <w:unhideWhenUsed/>
    <w:qFormat/>
    <w:uiPriority w:val="99"/>
    <w:rPr>
      <w:rFonts w:ascii="宋体" w:hAnsi="Courier New" w:eastAsia="宋体" w:cs="Courier New"/>
      <w:szCs w:val="21"/>
    </w:rPr>
  </w:style>
  <w:style w:type="paragraph" w:styleId="11">
    <w:name w:val="footer"/>
    <w:basedOn w:val="1"/>
    <w:link w:val="17"/>
    <w:autoRedefine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2">
    <w:name w:val="header"/>
    <w:basedOn w:val="1"/>
    <w:link w:val="16"/>
    <w:autoRedefine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15">
    <w:name w:val="纯文本 Char"/>
    <w:basedOn w:val="14"/>
    <w:link w:val="10"/>
    <w:autoRedefine/>
    <w:qFormat/>
    <w:uiPriority w:val="99"/>
    <w:rPr>
      <w:rFonts w:ascii="宋体" w:hAnsi="Courier New" w:eastAsia="宋体" w:cs="Courier New"/>
      <w:szCs w:val="21"/>
    </w:rPr>
  </w:style>
  <w:style w:type="character" w:customStyle="1" w:styleId="16">
    <w:name w:val="页眉 Char"/>
    <w:basedOn w:val="14"/>
    <w:link w:val="12"/>
    <w:autoRedefine/>
    <w:semiHidden/>
    <w:qFormat/>
    <w:uiPriority w:val="99"/>
    <w:rPr>
      <w:sz w:val="18"/>
      <w:szCs w:val="18"/>
    </w:rPr>
  </w:style>
  <w:style w:type="character" w:customStyle="1" w:styleId="17">
    <w:name w:val="页脚 Char"/>
    <w:basedOn w:val="14"/>
    <w:link w:val="11"/>
    <w:autoRedefine/>
    <w:semiHidden/>
    <w:qFormat/>
    <w:uiPriority w:val="99"/>
    <w:rPr>
      <w:sz w:val="18"/>
      <w:szCs w:val="18"/>
    </w:rPr>
  </w:style>
  <w:style w:type="character" w:customStyle="1" w:styleId="18">
    <w:name w:val="标题 1 Char"/>
    <w:basedOn w:val="14"/>
    <w:link w:val="2"/>
    <w:autoRedefine/>
    <w:qFormat/>
    <w:uiPriority w:val="9"/>
    <w:rPr>
      <w:b/>
      <w:bCs/>
      <w:kern w:val="44"/>
      <w:sz w:val="44"/>
      <w:szCs w:val="44"/>
    </w:rPr>
  </w:style>
  <w:style w:type="character" w:customStyle="1" w:styleId="19">
    <w:name w:val="标题 2 Char"/>
    <w:basedOn w:val="14"/>
    <w:link w:val="3"/>
    <w:autoRedefine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标题 3 Char"/>
    <w:basedOn w:val="14"/>
    <w:link w:val="4"/>
    <w:autoRedefine/>
    <w:semiHidden/>
    <w:qFormat/>
    <w:uiPriority w:val="9"/>
    <w:rPr>
      <w:b/>
      <w:bCs/>
      <w:sz w:val="32"/>
      <w:szCs w:val="32"/>
    </w:rPr>
  </w:style>
  <w:style w:type="character" w:customStyle="1" w:styleId="21">
    <w:name w:val="标题 4 Char"/>
    <w:basedOn w:val="14"/>
    <w:link w:val="5"/>
    <w:autoRedefine/>
    <w:semiHidden/>
    <w:qFormat/>
    <w:uiPriority w:val="9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22">
    <w:name w:val="标题 5 Char"/>
    <w:basedOn w:val="14"/>
    <w:link w:val="6"/>
    <w:autoRedefine/>
    <w:semiHidden/>
    <w:qFormat/>
    <w:uiPriority w:val="9"/>
    <w:rPr>
      <w:b/>
      <w:bCs/>
      <w:sz w:val="28"/>
      <w:szCs w:val="28"/>
    </w:rPr>
  </w:style>
  <w:style w:type="character" w:customStyle="1" w:styleId="23">
    <w:name w:val="标题 6 Char"/>
    <w:basedOn w:val="14"/>
    <w:link w:val="7"/>
    <w:autoRedefine/>
    <w:semiHidden/>
    <w:qFormat/>
    <w:uiPriority w:val="9"/>
    <w:rPr>
      <w:rFonts w:asciiTheme="majorHAnsi" w:hAnsiTheme="majorHAnsi" w:eastAsiaTheme="majorEastAsia" w:cstheme="majorBidi"/>
      <w:b/>
      <w:bCs/>
      <w:sz w:val="24"/>
      <w:szCs w:val="24"/>
    </w:rPr>
  </w:style>
  <w:style w:type="character" w:customStyle="1" w:styleId="24">
    <w:name w:val="标题 7 Char"/>
    <w:basedOn w:val="14"/>
    <w:link w:val="8"/>
    <w:autoRedefine/>
    <w:semiHidden/>
    <w:qFormat/>
    <w:uiPriority w:val="9"/>
    <w:rPr>
      <w:b/>
      <w:bCs/>
      <w:sz w:val="24"/>
      <w:szCs w:val="24"/>
    </w:rPr>
  </w:style>
  <w:style w:type="character" w:customStyle="1" w:styleId="25">
    <w:name w:val="标题 8 Char"/>
    <w:basedOn w:val="14"/>
    <w:link w:val="9"/>
    <w:autoRedefine/>
    <w:semiHidden/>
    <w:qFormat/>
    <w:uiPriority w:val="9"/>
    <w:rPr>
      <w:rFonts w:asciiTheme="majorHAnsi" w:hAnsiTheme="majorHAnsi" w:eastAsiaTheme="majorEastAsia" w:cstheme="majorBidi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2420NTDL2.tif" TargetMode="External"/><Relationship Id="rId7" Type="http://schemas.openxmlformats.org/officeDocument/2006/relationships/image" Target="media/image2.png"/><Relationship Id="rId6" Type="http://schemas.openxmlformats.org/officeDocument/2006/relationships/image" Target="2420NTDL1.tif" TargetMode="Externa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1.xml"/><Relationship Id="rId26" Type="http://schemas.openxmlformats.org/officeDocument/2006/relationships/image" Target="2420NTDL11.tif" TargetMode="External"/><Relationship Id="rId25" Type="http://schemas.openxmlformats.org/officeDocument/2006/relationships/image" Target="media/image11.png"/><Relationship Id="rId24" Type="http://schemas.openxmlformats.org/officeDocument/2006/relationships/image" Target="2420NTDL10.tif" TargetMode="External"/><Relationship Id="rId23" Type="http://schemas.openxmlformats.org/officeDocument/2006/relationships/image" Target="media/image10.png"/><Relationship Id="rId22" Type="http://schemas.openxmlformats.org/officeDocument/2006/relationships/image" Target="2420NTDL9.tif" TargetMode="External"/><Relationship Id="rId21" Type="http://schemas.openxmlformats.org/officeDocument/2006/relationships/image" Target="media/image9.png"/><Relationship Id="rId20" Type="http://schemas.openxmlformats.org/officeDocument/2006/relationships/image" Target="2420NTDL8.tif" TargetMode="External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2420NTDL7.tif" TargetMode="External"/><Relationship Id="rId17" Type="http://schemas.openxmlformats.org/officeDocument/2006/relationships/image" Target="media/image7.png"/><Relationship Id="rId16" Type="http://schemas.openxmlformats.org/officeDocument/2006/relationships/image" Target="2420NTDL6.tif" TargetMode="External"/><Relationship Id="rId15" Type="http://schemas.openxmlformats.org/officeDocument/2006/relationships/image" Target="media/image6.png"/><Relationship Id="rId14" Type="http://schemas.openxmlformats.org/officeDocument/2006/relationships/image" Target="2420NTDL5.tif" TargetMode="External"/><Relationship Id="rId13" Type="http://schemas.openxmlformats.org/officeDocument/2006/relationships/image" Target="media/image5.png"/><Relationship Id="rId12" Type="http://schemas.openxmlformats.org/officeDocument/2006/relationships/image" Target="2420NTDL4.tif" TargetMode="External"/><Relationship Id="rId11" Type="http://schemas.openxmlformats.org/officeDocument/2006/relationships/image" Target="media/image4.png"/><Relationship Id="rId10" Type="http://schemas.openxmlformats.org/officeDocument/2006/relationships/image" Target="2420NTDL3.tif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3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628</Words>
  <Characters>3584</Characters>
  <Lines>29</Lines>
  <Paragraphs>8</Paragraphs>
  <TotalTime>1</TotalTime>
  <ScaleCrop>false</ScaleCrop>
  <LinksUpToDate>false</LinksUpToDate>
  <CharactersWithSpaces>4204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2024-01-30T05:24:00Z</dcterms:created>
  <dc:creator>user</dc:creator>
  <cp:lastModifiedBy>晴窗一扇</cp:lastModifiedBy>
  <dcterms:modified xsi:type="dcterms:W3CDTF">2024-01-30T05:48:53Z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F3BA29BEBF43468B87F671C54D2C1B61_12</vt:lpwstr>
  </property>
</Properties>
</file>