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ind w:firstLine="420"/>
        <w:jc w:val="center"/>
        <w:textAlignment w:val="center"/>
        <w:rPr>
          <w:rFonts w:hint="eastAsia" w:ascii="楷体" w:hAnsi="楷体" w:eastAsia="楷体" w:cs="楷体"/>
          <w:color w:val="000000" w:themeColor="text1"/>
          <w:sz w:val="21"/>
          <w:szCs w:val="21"/>
          <w:lang w:eastAsia="zh-CN"/>
          <w14:textFill>
            <w14:solidFill>
              <w14:schemeClr w14:val="tx1"/>
            </w14:solidFill>
          </w14:textFill>
        </w:rPr>
      </w:pPr>
      <w:r>
        <w:rPr>
          <w:rFonts w:hint="eastAsia" w:ascii="华文中宋" w:hAnsi="华文中宋" w:eastAsia="华文中宋" w:cs="华文中宋"/>
          <w:color w:val="000000" w:themeColor="text1"/>
          <w:sz w:val="28"/>
          <w:szCs w:val="28"/>
          <w:lang w:eastAsia="zh-CN"/>
          <w14:textFill>
            <w14:solidFill>
              <w14:schemeClr w14:val="tx1"/>
            </w14:solidFill>
          </w14:textFill>
        </w:rPr>
        <w:t>《经济与社会》好题回顾</w:t>
      </w:r>
    </w:p>
    <w:p>
      <w:pPr>
        <w:keepNext w:val="0"/>
        <w:keepLines w:val="0"/>
        <w:pageBreakBefore w:val="0"/>
        <w:widowControl w:val="0"/>
        <w:shd w:val="clear" w:color="auto" w:fill="FFFFFF"/>
        <w:kinsoku/>
        <w:wordWrap/>
        <w:overflowPunct/>
        <w:topLinePunct w:val="0"/>
        <w:autoSpaceDE/>
        <w:autoSpaceDN/>
        <w:bidi w:val="0"/>
        <w:adjustRightInd/>
        <w:snapToGrid/>
        <w:ind w:firstLine="420"/>
        <w:jc w:val="left"/>
        <w:textAlignment w:val="center"/>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lang w:eastAsia="zh-CN"/>
          <w14:textFill>
            <w14:solidFill>
              <w14:schemeClr w14:val="tx1"/>
            </w14:solidFill>
          </w14:textFill>
        </w:rPr>
        <w:t>【例</w:t>
      </w:r>
      <w:r>
        <w:rPr>
          <w:rFonts w:hint="eastAsia" w:ascii="楷体" w:hAnsi="楷体" w:eastAsia="楷体" w:cs="楷体"/>
          <w:b/>
          <w:bCs/>
          <w:color w:val="000000" w:themeColor="text1"/>
          <w:sz w:val="21"/>
          <w:szCs w:val="21"/>
          <w:lang w:val="en-US" w:eastAsia="zh-CN"/>
          <w14:textFill>
            <w14:solidFill>
              <w14:schemeClr w14:val="tx1"/>
            </w14:solidFill>
          </w14:textFill>
        </w:rPr>
        <w:t>1</w:t>
      </w:r>
      <w:r>
        <w:rPr>
          <w:rFonts w:hint="eastAsia" w:ascii="楷体" w:hAnsi="楷体" w:eastAsia="楷体" w:cs="楷体"/>
          <w:b/>
          <w:bCs/>
          <w:color w:val="000000" w:themeColor="text1"/>
          <w:sz w:val="21"/>
          <w:szCs w:val="21"/>
          <w:lang w:eastAsia="zh-CN"/>
          <w14:textFill>
            <w14:solidFill>
              <w14:schemeClr w14:val="tx1"/>
            </w14:solidFill>
          </w14:textFill>
        </w:rPr>
        <w:t>】</w:t>
      </w:r>
      <w:r>
        <w:rPr>
          <w:rFonts w:ascii="楷体" w:hAnsi="楷体" w:eastAsia="楷体" w:cs="楷体"/>
          <w:color w:val="000000" w:themeColor="text1"/>
          <w:sz w:val="21"/>
          <w:szCs w:val="21"/>
          <w14:textFill>
            <w14:solidFill>
              <w14:schemeClr w14:val="tx1"/>
            </w14:solidFill>
          </w14:textFill>
        </w:rPr>
        <w:t>2023年，“庭院经济”首度被写入中央一号文件。庭院经济即农户家庭院落经济，指的是农民以自己的住宅院落及周边场域为空间范围、以家庭为单位进行小规模生产经营、为自家和社会提供农业土特产品和有关服务的经济形式，是农业经济的组成部分。2022年9月底，农业农村部、国家乡村振兴局印发《关于鼓励引导脱贫地区高质量发展庭院经济的指导意见》明确提出：高质量发展庭院经济，是促进就地就近就业创业、发展乡村特色产业、拓展增收来源的有效途径。枸杞、苹果、红枣、杏树……在宁夏，特色经济林木装点着村民房前屋后，打造精品田园和美丽庭院；发展特色种养，养殖牛、羊、鸡⋯⋯；在青海德令哈，当地特色养殖业成为农户庭院特色；办民宿、开农家乐、体验打糍粑、赛山歌，在湖南花垣县，发展休闲旅游，农家庭院甚至成为游客旅途一景，还有特色农产品，发展了一批非遗工坊、家庭工厂、手工作坊，开发了乡村特色文创产品……全国各地都有不少庭院“方寸地”变身增收“致富园”的鲜活例子。各地积极探索形成具有自身特色的发展模式，让庭院经济成了乡村振兴的重要抓手。</w:t>
      </w:r>
    </w:p>
    <w:p>
      <w:pPr>
        <w:keepNext w:val="0"/>
        <w:keepLines w:val="0"/>
        <w:pageBreakBefore w:val="0"/>
        <w:widowControl w:val="0"/>
        <w:shd w:val="clear" w:color="auto" w:fill="FFFFFF"/>
        <w:kinsoku/>
        <w:wordWrap/>
        <w:overflowPunct/>
        <w:topLinePunct w:val="0"/>
        <w:autoSpaceDE/>
        <w:autoSpaceDN/>
        <w:bidi w:val="0"/>
        <w:adjustRightInd/>
        <w:snapToGrid/>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结合材料并运用《经济与社会》相关知识，说明发展庭院经济为何能够赋能乡村振兴。（9分） </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b/>
          <w:bCs/>
          <w:color w:val="000000" w:themeColor="text1"/>
          <w:sz w:val="2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bookmarkStart w:id="0" w:name="_GoBack"/>
      <w:bookmarkEnd w:id="0"/>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shd w:val="clear" w:color="auto" w:fill="FFFFFF"/>
        <w:kinsoku/>
        <w:wordWrap/>
        <w:overflowPunct/>
        <w:topLinePunct w:val="0"/>
        <w:autoSpaceDE/>
        <w:autoSpaceDN/>
        <w:bidi w:val="0"/>
        <w:adjustRightInd/>
        <w:snapToGrid/>
        <w:spacing w:line="276" w:lineRule="auto"/>
        <w:jc w:val="left"/>
        <w:textAlignment w:val="center"/>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2" w:firstLineChars="200"/>
        <w:jc w:val="left"/>
        <w:textAlignment w:val="center"/>
        <w:rPr>
          <w:rFonts w:hint="eastAsia" w:ascii="楷体" w:hAnsi="楷体" w:eastAsia="楷体" w:cs="楷体"/>
          <w:color w:val="000000" w:themeColor="text1"/>
          <w:sz w:val="21"/>
          <w:szCs w:val="21"/>
          <w:highlight w:val="none"/>
          <w:lang w:val="en-US" w:eastAsia="zh-CN"/>
          <w14:textFill>
            <w14:solidFill>
              <w14:schemeClr w14:val="tx1"/>
            </w14:solidFill>
          </w14:textFill>
        </w:rPr>
      </w:pPr>
      <w:r>
        <w:rPr>
          <w:rFonts w:hint="eastAsia" w:ascii="楷体" w:hAnsi="楷体" w:eastAsia="楷体" w:cs="楷体"/>
          <w:b/>
          <w:bCs/>
          <w:szCs w:val="22"/>
          <w:lang w:val="en-US" w:eastAsia="zh-CN"/>
        </w:rPr>
        <w:t>【例2】</w:t>
      </w:r>
      <w:r>
        <w:rPr>
          <w:rFonts w:hint="eastAsia" w:ascii="楷体" w:hAnsi="楷体" w:eastAsia="楷体" w:cs="楷体"/>
          <w:color w:val="000000" w:themeColor="text1"/>
          <w:sz w:val="21"/>
          <w:szCs w:val="21"/>
          <w:highlight w:val="none"/>
          <w:lang w:val="en-US" w:eastAsia="zh-CN"/>
          <w14:textFill>
            <w14:solidFill>
              <w14:schemeClr w14:val="tx1"/>
            </w14:solidFill>
          </w14:textFill>
        </w:rPr>
        <w:t>2023年前三季度，我国最终消费支出对经济增长的贡献率达83.2%；全国固定资产投资同比增长3.1%；45个国家先进制造业集群纵横铺设，“5G+工业互联网”项目超过8000个，数字技术加力赋能实体经济；以电动载人汽车、太阳能电池、锂电池为代表的外贸“新三样”产品出口同比增长41.7%；我国跨境电商进出口额为1.7万亿元，增长14.4%。</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楷体" w:hAnsi="楷体" w:eastAsia="楷体" w:cs="楷体"/>
          <w:color w:val="000000" w:themeColor="text1"/>
          <w:sz w:val="21"/>
          <w:szCs w:val="21"/>
          <w:highlight w:val="none"/>
          <w:lang w:val="en-US" w:eastAsia="zh-CN"/>
          <w14:textFill>
            <w14:solidFill>
              <w14:schemeClr w14:val="tx1"/>
            </w14:solidFill>
          </w14:textFill>
        </w:rPr>
      </w:pPr>
      <w:r>
        <w:rPr>
          <w:rFonts w:hint="eastAsia" w:ascii="楷体" w:hAnsi="楷体" w:eastAsia="楷体" w:cs="楷体"/>
          <w:color w:val="000000" w:themeColor="text1"/>
          <w:sz w:val="21"/>
          <w:szCs w:val="21"/>
          <w:highlight w:val="none"/>
          <w:lang w:val="en-US" w:eastAsia="zh-CN"/>
          <w14:textFill>
            <w14:solidFill>
              <w14:schemeClr w14:val="tx1"/>
            </w14:solidFill>
          </w14:textFill>
        </w:rPr>
        <w:t xml:space="preserve">近年来，我国推动高水平对外开放的积极因素不断增多，自贸试验区建设10年来，我国外资准入负面清单条目由190条缩减至27条，实现制造业条目清零；推出《关于加快内外贸一体化发展的若干措施》，促进内外贸规则制度衔接融合。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结合材料，运用经济与社会、当代国际政治与经济的知识，分析我国是如何推动经济高质量发展的。（8分） </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shd w:val="clear" w:color="auto" w:fill="FFFFFF"/>
        <w:kinsoku/>
        <w:wordWrap/>
        <w:overflowPunct/>
        <w:topLinePunct w:val="0"/>
        <w:autoSpaceDE/>
        <w:autoSpaceDN/>
        <w:bidi w:val="0"/>
        <w:adjustRightInd/>
        <w:snapToGrid/>
        <w:spacing w:line="276" w:lineRule="auto"/>
        <w:jc w:val="left"/>
        <w:textAlignment w:val="center"/>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shd w:val="clear" w:color="auto" w:fill="FFFFFF"/>
        <w:kinsoku/>
        <w:wordWrap/>
        <w:overflowPunct/>
        <w:topLinePunct w:val="0"/>
        <w:autoSpaceDE/>
        <w:autoSpaceDN/>
        <w:bidi w:val="0"/>
        <w:adjustRightInd/>
        <w:snapToGrid/>
        <w:spacing w:line="276" w:lineRule="auto"/>
        <w:jc w:val="left"/>
        <w:textAlignment w:val="center"/>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sz w:val="21"/>
          <w:szCs w:val="21"/>
        </w:rPr>
      </w:pPr>
      <w:r>
        <w:rPr>
          <w:rFonts w:hint="eastAsia" w:ascii="楷体" w:hAnsi="楷体" w:eastAsia="楷体" w:cs="楷体"/>
          <w:b/>
          <w:bCs/>
          <w:szCs w:val="22"/>
          <w:lang w:eastAsia="zh-CN"/>
        </w:rPr>
        <w:t>【例</w:t>
      </w:r>
      <w:r>
        <w:rPr>
          <w:rFonts w:hint="eastAsia" w:ascii="楷体" w:hAnsi="楷体" w:eastAsia="楷体" w:cs="楷体"/>
          <w:b/>
          <w:bCs/>
          <w:szCs w:val="22"/>
          <w:lang w:val="en-US" w:eastAsia="zh-CN"/>
        </w:rPr>
        <w:t>3</w:t>
      </w:r>
      <w:r>
        <w:rPr>
          <w:rFonts w:hint="eastAsia" w:ascii="楷体" w:hAnsi="楷体" w:eastAsia="楷体" w:cs="楷体"/>
          <w:b/>
          <w:bCs/>
          <w:szCs w:val="22"/>
          <w:lang w:eastAsia="zh-CN"/>
        </w:rPr>
        <w:t>】</w:t>
      </w:r>
      <w:r>
        <w:rPr>
          <w:rFonts w:hint="eastAsia" w:ascii="楷体" w:hAnsi="楷体" w:eastAsia="楷体" w:cs="楷体"/>
          <w:sz w:val="21"/>
          <w:szCs w:val="21"/>
        </w:rPr>
        <w:t>近年来，我国新能源汽车不断发力新赛道锻造新优势，实现了从全球汽车产业追赶者到引领者的蜕变，成为我国外贸出口的“新三样”之一。某校经纬社团探寻其逆势上扬的高质量领跑密码，并将相关情况汇集如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sz w:val="21"/>
          <w:szCs w:val="21"/>
        </w:rPr>
      </w:pPr>
      <w:r>
        <w:rPr>
          <w:rFonts w:hint="eastAsia" w:ascii="楷体" w:hAnsi="楷体" w:eastAsia="楷体" w:cs="楷体"/>
          <w:sz w:val="21"/>
          <w:szCs w:val="21"/>
        </w:rPr>
        <w:t>供给端：政企联动，夯实电池、电机、电控等核心关键技术优势，在全球范围内取得规模代际化的换道先发优势；在传感器、软件、芯片等领域，国产化替代正在加快步伐，将与全球行业巨头共创全新的技术格局和未来的出行生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sz w:val="21"/>
          <w:szCs w:val="21"/>
        </w:rPr>
      </w:pPr>
      <w:r>
        <w:rPr>
          <w:rFonts w:hint="eastAsia" w:ascii="楷体" w:hAnsi="楷体" w:eastAsia="楷体" w:cs="楷体"/>
          <w:sz w:val="21"/>
          <w:szCs w:val="21"/>
        </w:rPr>
        <w:t>消费端：深耕国内市场：延续免征新能源汽车购置税；向下沉市场挖潜，推动新能源汽车下乡；向细分市场挖潜，注重多元化、个性化的消费体验。拓展海外市场：支持新能源汽车企业加快建设海外营销和售后服务网络，加大品牌宣传推广力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sz w:val="21"/>
          <w:szCs w:val="21"/>
        </w:rPr>
      </w:pPr>
      <w:r>
        <w:rPr>
          <w:rFonts w:hint="eastAsia" w:ascii="楷体" w:hAnsi="楷体" w:eastAsia="楷体" w:cs="楷体"/>
          <w:sz w:val="21"/>
          <w:szCs w:val="21"/>
        </w:rPr>
        <w:t>使用端：加大配套充电桩、换电站、服务网点等布局，鼓励各类充换电设施实现互联互通；针对新能源汽车的使用，出台停车、通行等方面的优惠政策，提高新能源汽车的使用便利性和舒适度。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结合材料，运用《经济与社会》《当代世界政治与经济》，分析我国新能源汽车如何走好高质量发展之路的。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shd w:val="clear" w:color="auto" w:fill="FFFFFF"/>
        <w:kinsoku/>
        <w:wordWrap/>
        <w:overflowPunct/>
        <w:topLinePunct w:val="0"/>
        <w:autoSpaceDE/>
        <w:autoSpaceDN/>
        <w:bidi w:val="0"/>
        <w:adjustRightInd/>
        <w:snapToGrid/>
        <w:spacing w:line="276" w:lineRule="auto"/>
        <w:jc w:val="left"/>
        <w:textAlignment w:val="center"/>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shd w:val="clear" w:color="auto" w:fill="FFFFFF"/>
        <w:kinsoku/>
        <w:wordWrap/>
        <w:overflowPunct/>
        <w:topLinePunct w:val="0"/>
        <w:autoSpaceDE/>
        <w:autoSpaceDN/>
        <w:bidi w:val="0"/>
        <w:adjustRightInd/>
        <w:snapToGrid/>
        <w:spacing w:line="276" w:lineRule="auto"/>
        <w:jc w:val="left"/>
        <w:textAlignment w:val="center"/>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2" w:firstLineChars="200"/>
        <w:jc w:val="left"/>
        <w:textAlignment w:val="center"/>
        <w:rPr>
          <w:rFonts w:ascii="Times New Roman" w:hAnsi="Times New Roman" w:eastAsia="宋体" w:cs="Times New Roman"/>
          <w:sz w:val="21"/>
          <w:szCs w:val="21"/>
        </w:rPr>
      </w:pPr>
      <w:r>
        <w:rPr>
          <w:rFonts w:hint="eastAsia" w:ascii="楷体" w:hAnsi="楷体" w:eastAsia="楷体" w:cs="楷体"/>
          <w:b/>
          <w:bCs/>
          <w:sz w:val="21"/>
          <w:szCs w:val="21"/>
          <w:lang w:eastAsia="zh-CN"/>
        </w:rPr>
        <w:t>【例</w:t>
      </w:r>
      <w:r>
        <w:rPr>
          <w:rFonts w:hint="eastAsia" w:ascii="楷体" w:hAnsi="楷体" w:eastAsia="楷体" w:cs="楷体"/>
          <w:b/>
          <w:bCs/>
          <w:sz w:val="21"/>
          <w:szCs w:val="21"/>
          <w:lang w:val="en-US" w:eastAsia="zh-CN"/>
        </w:rPr>
        <w:t>4</w:t>
      </w:r>
      <w:r>
        <w:rPr>
          <w:rFonts w:hint="eastAsia" w:ascii="楷体" w:hAnsi="楷体" w:eastAsia="楷体" w:cs="楷体"/>
          <w:b/>
          <w:bCs/>
          <w:sz w:val="21"/>
          <w:szCs w:val="21"/>
          <w:lang w:eastAsia="zh-CN"/>
        </w:rPr>
        <w:t>】</w:t>
      </w:r>
      <w:r>
        <w:rPr>
          <w:rFonts w:ascii="楷体" w:hAnsi="楷体" w:eastAsia="楷体" w:cs="楷体"/>
          <w:sz w:val="21"/>
          <w:szCs w:val="21"/>
        </w:rPr>
        <w:t>为适应我国房地产市场供求关系发生重大变化的新形势，各地因城施策，用好政策工具箱，促进房地产市场平稳健康发展。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sz w:val="21"/>
          <w:szCs w:val="21"/>
        </w:rPr>
      </w:pPr>
      <w:r>
        <w:rPr>
          <w:rFonts w:ascii="Times New Roman" w:hAnsi="Times New Roman" w:eastAsia="Times New Roman" w:cs="Times New Roman"/>
          <w:kern w:val="0"/>
          <w:sz w:val="21"/>
          <w:szCs w:val="21"/>
        </w:rPr>
        <w:t>    </w:t>
      </w:r>
      <w:r>
        <w:rPr>
          <w:rFonts w:ascii="楷体" w:hAnsi="楷体" w:eastAsia="楷体" w:cs="楷体"/>
          <w:sz w:val="21"/>
          <w:szCs w:val="21"/>
        </w:rPr>
        <w:t>材料一</w:t>
      </w:r>
      <w:r>
        <w:rPr>
          <w:rFonts w:ascii="Times New Roman" w:hAnsi="Times New Roman" w:eastAsia="Times New Roman" w:cs="Times New Roman"/>
          <w:kern w:val="0"/>
          <w:sz w:val="21"/>
          <w:szCs w:val="21"/>
        </w:rPr>
        <w:t>  </w:t>
      </w:r>
      <w:r>
        <w:rPr>
          <w:rFonts w:ascii="楷体" w:hAnsi="楷体" w:eastAsia="楷体" w:cs="楷体"/>
          <w:sz w:val="21"/>
          <w:szCs w:val="21"/>
        </w:rPr>
        <w:t>上海优化住房公积金贷款套数认定标准规定，无房、在全国无公积金贷款或首次公积金贷款已结清的，可以认定为首套住房；在上海已有一套房、符合改善型认定条件，在全国无公积金贷款或首次公积金贷款已结清的，认定为第二套改善型住房。这一新规可以让购房者以更低首付和更优惠的贷款利率购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 w:val="21"/>
          <w:szCs w:val="21"/>
        </w:rPr>
      </w:pPr>
      <w:r>
        <w:rPr>
          <w:rFonts w:ascii="楷体" w:hAnsi="楷体" w:eastAsia="楷体" w:cs="楷体"/>
          <w:sz w:val="21"/>
          <w:szCs w:val="21"/>
        </w:rPr>
        <w:t>材料二</w:t>
      </w:r>
      <w:r>
        <w:rPr>
          <w:rFonts w:ascii="Times New Roman" w:hAnsi="Times New Roman" w:eastAsia="Times New Roman" w:cs="Times New Roman"/>
          <w:kern w:val="0"/>
          <w:sz w:val="21"/>
          <w:szCs w:val="21"/>
        </w:rPr>
        <w:t>  </w:t>
      </w:r>
      <w:r>
        <w:rPr>
          <w:rFonts w:ascii="楷体" w:hAnsi="楷体" w:eastAsia="楷体" w:cs="楷体"/>
          <w:sz w:val="21"/>
          <w:szCs w:val="21"/>
        </w:rPr>
        <w:t>广州的城中村改造新规进一步明确：“探索房票安置政策机制，破解城中村改造难题。”“房票安置”是房屋征收部门按照房屋征收补偿政策，秉承被征收人自愿选择为前提，将被征收房屋按货币补偿金额量化后，以房票形式核发给被征收人，由被征收人自行购买新建设商品房的市场化安置方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 w:val="21"/>
          <w:szCs w:val="21"/>
        </w:rPr>
      </w:pPr>
      <w:r>
        <w:rPr>
          <w:rFonts w:ascii="楷体" w:hAnsi="楷体" w:eastAsia="楷体" w:cs="楷体"/>
          <w:sz w:val="21"/>
          <w:szCs w:val="21"/>
        </w:rPr>
        <w:t>材料三</w:t>
      </w:r>
      <w:r>
        <w:rPr>
          <w:rFonts w:ascii="Times New Roman" w:hAnsi="Times New Roman" w:eastAsia="Times New Roman" w:cs="Times New Roman"/>
          <w:kern w:val="0"/>
          <w:sz w:val="21"/>
          <w:szCs w:val="21"/>
        </w:rPr>
        <w:t>  </w:t>
      </w:r>
      <w:r>
        <w:rPr>
          <w:rFonts w:ascii="楷体" w:hAnsi="楷体" w:eastAsia="楷体" w:cs="楷体"/>
          <w:sz w:val="21"/>
          <w:szCs w:val="21"/>
        </w:rPr>
        <w:t>北京近日发文，进一步规范商品房销售明码标价行为。征求意见稿提出，商品房销售明码标价应当根据行业特点等实际情况，遵循公开、公平、诚实信用的原则，做到真实准确、货签对位、标识醒目。</w:t>
      </w:r>
    </w:p>
    <w:p>
      <w:pPr>
        <w:keepNext w:val="0"/>
        <w:keepLines w:val="0"/>
        <w:pageBreakBefore w:val="0"/>
        <w:widowControl w:val="0"/>
        <w:kinsoku/>
        <w:wordWrap/>
        <w:overflowPunct/>
        <w:topLinePunct w:val="0"/>
        <w:autoSpaceDE/>
        <w:autoSpaceDN/>
        <w:bidi w:val="0"/>
        <w:adjustRightInd/>
        <w:snapToGrid/>
        <w:spacing w:line="240" w:lineRule="auto"/>
        <w:rPr>
          <w:rFonts w:hint="eastAsia" w:eastAsia="宋体"/>
          <w:sz w:val="21"/>
          <w:szCs w:val="21"/>
          <w:lang w:eastAsia="zh-CN"/>
        </w:rPr>
      </w:pPr>
      <w:r>
        <w:rPr>
          <w:rFonts w:ascii="Times New Roman" w:hAnsi="Times New Roman" w:eastAsia="宋体" w:cs="Times New Roman"/>
          <w:sz w:val="21"/>
          <w:szCs w:val="21"/>
        </w:rPr>
        <w:t>结合材料，运用《经济与社会》的知识，分析上述政策是如何促进房地产市场平稳健康发展的。</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lang w:eastAsia="zh-CN"/>
        </w:rPr>
        <w:t>分）</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Cs w:val="22"/>
        </w:rPr>
      </w:pPr>
      <w:r>
        <w:rPr>
          <w:rFonts w:hint="eastAsia" w:ascii="楷体" w:hAnsi="楷体" w:eastAsia="楷体" w:cs="楷体"/>
          <w:b/>
          <w:bCs/>
          <w:szCs w:val="22"/>
          <w:lang w:eastAsia="zh-CN"/>
        </w:rPr>
        <w:t>【例</w:t>
      </w:r>
      <w:r>
        <w:rPr>
          <w:rFonts w:hint="eastAsia" w:ascii="楷体" w:hAnsi="楷体" w:eastAsia="楷体" w:cs="楷体"/>
          <w:b/>
          <w:bCs/>
          <w:szCs w:val="22"/>
          <w:lang w:val="en-US" w:eastAsia="zh-CN"/>
        </w:rPr>
        <w:t>5</w:t>
      </w:r>
      <w:r>
        <w:rPr>
          <w:rFonts w:hint="eastAsia" w:ascii="楷体" w:hAnsi="楷体" w:eastAsia="楷体" w:cs="楷体"/>
          <w:b/>
          <w:bCs/>
          <w:szCs w:val="22"/>
          <w:lang w:eastAsia="zh-CN"/>
        </w:rPr>
        <w:t>】</w:t>
      </w:r>
      <w:r>
        <w:rPr>
          <w:rFonts w:ascii="楷体" w:hAnsi="楷体" w:eastAsia="楷体" w:cs="楷体"/>
          <w:szCs w:val="22"/>
        </w:rPr>
        <w:t>制造业是立国之本、强国之基。十年来，中国制造业增加值占全球比重从22.5%提高到近30%，持续保持世界第一制造大国地位；高技术制造业和装备制造业占规模以上工业增加值比重分别从9.4%、28%提高到15.1%和32.4%；新能源汽车产销量连续7年世界第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Cs w:val="22"/>
        </w:rPr>
      </w:pPr>
      <w:r>
        <w:rPr>
          <w:rFonts w:ascii="楷体" w:hAnsi="楷体" w:eastAsia="楷体" w:cs="楷体"/>
          <w:szCs w:val="22"/>
        </w:rPr>
        <w:t>自2017年以来，中国连续5年修订外资准入负面清单，2021年版全国和自贸试验区外资准入负面清单已分别压减至31条和27条，在种业、汽车船舶和飞机制造、证券、银行、保险、职业培训等众多行业、领域取消或放宽了外资股比限制。2023年8月，国务院发布《关于进一步优化外商投资环境加大吸引外商投资力度的意见》，就吸引外资，支持制造业发展等方面提出24条具体措施。10月20日，中国在第三届“一带一路”国际合作高峰论坛开幕式上宣布：“全面取消制造业领域外资准入限制措施”。</w:t>
      </w:r>
    </w:p>
    <w:p>
      <w:pPr>
        <w:keepNext w:val="0"/>
        <w:keepLines w:val="0"/>
        <w:pageBreakBefore w:val="0"/>
        <w:widowControl w:val="0"/>
        <w:kinsoku/>
        <w:wordWrap/>
        <w:overflowPunct/>
        <w:topLinePunct w:val="0"/>
        <w:autoSpaceDE/>
        <w:autoSpaceDN/>
        <w:bidi w:val="0"/>
        <w:adjustRightInd/>
        <w:snapToGrid/>
        <w:spacing w:line="240" w:lineRule="auto"/>
        <w:rPr>
          <w:rFonts w:hint="eastAsia" w:ascii="Times New Roman" w:hAnsi="Times New Roman" w:eastAsia="宋体" w:cs="Times New Roman"/>
          <w:szCs w:val="22"/>
          <w:lang w:eastAsia="zh-CN"/>
        </w:rPr>
      </w:pPr>
      <w:r>
        <w:rPr>
          <w:rFonts w:ascii="Times New Roman" w:hAnsi="Times New Roman" w:eastAsia="宋体" w:cs="Times New Roman"/>
          <w:szCs w:val="22"/>
        </w:rPr>
        <w:t>某班围绕“全面取消制造业领域外资准入限制是否会给中国实体经济带来巨大冲击？”这一议题开展议学活动。请你结合材料，运用《经济与社会》和《当代国际政治与经济》知识，就打消这一疑虑发表你的看法。</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11分</w:t>
      </w:r>
      <w:r>
        <w:rPr>
          <w:rFonts w:hint="eastAsia" w:ascii="Times New Roman" w:hAnsi="Times New Roman" w:eastAsia="宋体" w:cs="Times New Roman"/>
          <w:szCs w:val="22"/>
          <w:lang w:eastAsia="zh-CN"/>
        </w:rPr>
        <w:t>）</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default" w:ascii="Times New Roman" w:hAnsi="Times New Roman" w:eastAsia="黑体" w:cs="Times New Roman"/>
          <w:szCs w:val="22"/>
          <w:lang w:val="en-US" w:eastAsia="zh-CN"/>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sectPr>
      <w:pgSz w:w="11906" w:h="16838"/>
      <w:pgMar w:top="550" w:right="550" w:bottom="550" w:left="550"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00000000"/>
    <w:rsid w:val="01E66BED"/>
    <w:rsid w:val="0A2F7010"/>
    <w:rsid w:val="0B485BE0"/>
    <w:rsid w:val="0E11036A"/>
    <w:rsid w:val="11EA1DD0"/>
    <w:rsid w:val="162C0E00"/>
    <w:rsid w:val="17B73663"/>
    <w:rsid w:val="1F0364A2"/>
    <w:rsid w:val="239E4080"/>
    <w:rsid w:val="2766658C"/>
    <w:rsid w:val="28641476"/>
    <w:rsid w:val="2DFA74C3"/>
    <w:rsid w:val="3DD6763D"/>
    <w:rsid w:val="4AC4295F"/>
    <w:rsid w:val="4B0B37CB"/>
    <w:rsid w:val="4DBE0E74"/>
    <w:rsid w:val="4EDD45C6"/>
    <w:rsid w:val="51F16D22"/>
    <w:rsid w:val="5A4B0D75"/>
    <w:rsid w:val="65574210"/>
    <w:rsid w:val="6BD2397F"/>
    <w:rsid w:val="703A6FBE"/>
    <w:rsid w:val="7135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2024-05-18T12:41:00Z</dcterms:created>
  <dc:creator>Administrator</dc:creator>
  <cp:lastModifiedBy>徐蓉</cp:lastModifiedBy>
  <dcterms:modified xsi:type="dcterms:W3CDTF">2024-05-20T01:03:38Z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CE7295704A45406D8E64DD1C27AD38C9_12</vt:lpwstr>
  </property>
</Properties>
</file>