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黑体" w:hAnsi="黑体" w:eastAsia="黑体" w:cs="黑体"/>
          <w:b/>
          <w:sz w:val="30"/>
        </w:rPr>
      </w:pPr>
      <w:r>
        <w:rPr>
          <w:rFonts w:hint="eastAsia" w:ascii="黑体" w:hAnsi="黑体" w:eastAsia="黑体" w:cs="黑体"/>
          <w:b/>
          <w:sz w:val="30"/>
        </w:rPr>
        <w:t>江苏省仪征中学2024届高三政治滚动练习</w:t>
      </w:r>
      <w:r>
        <w:rPr>
          <w:rFonts w:hint="eastAsia" w:ascii="黑体" w:hAnsi="黑体" w:eastAsia="黑体" w:cs="黑体"/>
          <w:b/>
          <w:sz w:val="30"/>
          <w:lang w:val="en-US" w:eastAsia="zh-CN"/>
        </w:rPr>
        <w:t>4</w:t>
      </w:r>
      <w:r>
        <w:rPr>
          <w:rFonts w:ascii="黑体" w:hAnsi="黑体" w:eastAsia="黑体" w:cs="黑体"/>
          <w:b/>
          <w:sz w:val="30"/>
        </w:rPr>
        <w:t xml:space="preserve">     </w:t>
      </w:r>
    </w:p>
    <w:p>
      <w:pPr>
        <w:spacing w:line="264" w:lineRule="auto"/>
        <w:ind w:firstLine="2310" w:firstLineChars="1100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班级：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          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姓名：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       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  <w:b/>
          <w:bCs/>
        </w:rPr>
        <w:t>选择题错误数量：</w:t>
      </w:r>
      <w:r>
        <w:rPr>
          <w:rFonts w:hint="eastAsia" w:ascii="宋体" w:hAnsi="宋体" w:cs="宋体"/>
          <w:b/>
          <w:bCs/>
          <w:u w:val="single"/>
        </w:rPr>
        <w:t xml:space="preserve"> </w:t>
      </w:r>
      <w:r>
        <w:rPr>
          <w:rFonts w:ascii="宋体" w:hAnsi="宋体" w:cs="宋体"/>
          <w:b/>
          <w:bCs/>
          <w:u w:val="single"/>
        </w:rPr>
        <w:t xml:space="preserve">         </w:t>
      </w:r>
      <w:r>
        <w:rPr>
          <w:rFonts w:ascii="宋体" w:hAnsi="宋体" w:cs="宋体"/>
        </w:rPr>
        <w:t xml:space="preserve">  </w:t>
      </w:r>
    </w:p>
    <w:tbl>
      <w:tblPr>
        <w:tblStyle w:val="8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881"/>
        <w:gridCol w:w="901"/>
        <w:gridCol w:w="901"/>
        <w:gridCol w:w="901"/>
        <w:gridCol w:w="901"/>
        <w:gridCol w:w="901"/>
        <w:gridCol w:w="901"/>
        <w:gridCol w:w="882"/>
        <w:gridCol w:w="862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8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题号</w:t>
            </w:r>
          </w:p>
        </w:tc>
        <w:tc>
          <w:tcPr>
            <w:tcW w:w="881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01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901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901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901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901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901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882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862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855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1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8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答案</w:t>
            </w:r>
          </w:p>
        </w:tc>
        <w:tc>
          <w:tcPr>
            <w:tcW w:w="881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882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spacing w:line="288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列宁指出：“马克思主义这一革命无产阶级的思想体系赢得了世界历史性的意义，是因为它并没有抛弃1．马克思认为，人类的文明形态有“前文明形态”，这是生产力水平很低的情况下“自然形成的共同体”，然后进入“内在分裂的文明形态”，是建立在阶级社会的分裂和对抗基础之上的文明形态，是一种“人的依赖关系”。只有摆脱了“人的依赖”和“物的依赖”的未来社会，才会形成“人自由而全面发展的文明形态”。据此可知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①物质生活的生产方式制约着整个社会生活、政治生活和精神生活的过程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A．①②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②“自然形成的共同体”是人类社会发展的最初阶段和人类文明最低阶段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B．①④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③进入“内在分裂的文明形态”，标志着私有制确立，是人类社会的倒退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C．②③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④“人自由而全面发展的文明形态”与“前文明形态”在本质上是一致的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D．③④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405765</wp:posOffset>
            </wp:positionV>
            <wp:extent cx="1353185" cy="1321435"/>
            <wp:effectExtent l="0" t="0" r="37465" b="50165"/>
            <wp:wrapTight wrapText="bothSides">
              <wp:wrapPolygon>
                <wp:start x="0" y="0"/>
                <wp:lineTo x="0" y="21174"/>
                <wp:lineTo x="21286" y="21174"/>
                <wp:lineTo x="21286" y="0"/>
                <wp:lineTo x="0" y="0"/>
              </wp:wrapPolygon>
            </wp:wrapTight>
            <wp:docPr id="100003" name="图片 100003" descr="@@@c798de13f22740c19ce5ceb70447c2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c798de13f22740c19ce5ceb70447c2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2．秋收秋种正忙之际，国家发展改革委等部门发布通知，明确2024年国家继续在小麦主产区实行最低收购价政策。下图反映的是我国目前的粮食供求状况（其中D代表需求曲线，S代表供给曲线），不考虑其他因素，以下对小麦最低收购价的说法正确的是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 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图中纵轴自上而下依次是P1、P0、P2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A．2024年小麦最低收购价格应设置在P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点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横轴自左向右依次是Q1、Q0、Q2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B．价格在P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点时，有利于维护国家粮食安全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C．价格定在P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到P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之间，有助于扩大粮食消费需求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D．价格定在P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到P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之间，有利于调动农民种粮积极性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日前国家医保局发布了十六项医保服务便民措施，为参保群众提供更便捷高效的医保服务。以简化办理材料为例，办理时限由原来45个工作日压缩为15个工作日，参保人可通过线上申请办理，不用再“两地跑”，真正实现让数据多跑路，群众不跑腿。医保线上转移接续有利于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A．减轻相关职能部门的负担，提高服务效能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B．破解异地医疗的堵点，降低群众就医成本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C．完善社会再分配，提升基本医疗保障水平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D．区域协调发展，推进基本公共服务均等化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4．2023年8月，某省委反腐败协调小组印发《浙江省查处诬告陷害行为实施办法》，推动进一步严肃精准查处涉及党组织、党员、监察对象的诬告陷害行为，规范信访举报工作秩序。这要求中国共产党（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①坚持依法治国，引导公民负责任地行使监督权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②完善法律法规，推进政治建设规范化、法治化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③坚持依法执政，促使信访举报工作依法有序进行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④坚持实事求是，筑牢社会公平正义最后一道防线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A．①③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B．①④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C．②③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D．②④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2023年3月，全国人大常委会工作报告中回顾过去一年的工作时指出，首次听取审议国有资产管理情况综合报告，首次听取审议金融工作情况报告，首次听取审议国家监委有关专项工作报告，首次开展对“两高”专项工作报告的专题询问……这四个“首次”彰显全国人大常委会（   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①直面问题代替全国人大行使最高监督权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②以民主集中制原则作为履职的根本原则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A．①③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B．①④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③不断创新和完善执法监督检查的方式方法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④标志着新时代的人大监督工作迈出新步伐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C．②③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D．②④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．近年来，各地司法行政机关会同法院推动在法院诉讼服务中心、县级公共法律服务中心和乡镇公共法律服务站、有条件的律师事务所设立律师调解工作室，探索在医疗纠纷、知识产权、金融证券等领域设立律师调解工作室，把律师调解融入矛盾纠纷多元化解机制。上述举措（   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①旨在加强律师队伍建设，提升调解能力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②发挥律师法律专业素养，化解矛盾纠纷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A．①②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B．①③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③是司法机关健全司法救助体系的具体表现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④提升诉源治理质效，推动基层治理法治化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C．②④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D．③④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．民族音乐会《长城》是文旅部重点资助剧目，通过多元化的民族器乐呈现和不同音响的组合，既塑了长城的“形”，又铸了长城的“魂”。打击乐的有机组合表现了长城的磅礴气势，二胡的揉弦与颤音再现了长城的细腻，长线条、长气息乐句塑造了长城的绵延和壮丽……通过音乐作品，长城这一静态的古代建筑变得灵动而有魅力，长城的精神内涵和背后的历史文化也得到阐释和传播。这表明（    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①不同事物之间存在共性，音乐和古建筑之间存在共通的美学信息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A．①②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②抓住事物的不同之处，不同的艺术形式之间可以“移植”和借鉴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B．①④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③古建筑和音乐的有机融合，是古建筑活化利用的必由之路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C．②③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④要在保护中发展文化遗产、在发展中保护文化遗产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D．③④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8．某中学一教师在课堂上讲授世界各国政体时，展示了以下情境：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533"/>
        <w:gridCol w:w="5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情境一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情境二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A国国家机构由总统、政府和议会组成，总统掌握一定行政权，总理领导政府，政府对议会负责。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B国总统既是国家元首又是政府首脑，立法权属于议会，司法权属于法院，三权分立制衔。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由此推断（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 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A．①②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B．①③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C．②③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D．③④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①A国权力中心是议会，B国权力中心是总统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②A国和B国都实行民主共和制的结构形式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③两国总统都是本国国家元首，由选举产生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④两国议会对总统的行政权均有一定的制约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．“全球南方”是新兴市场国家和发展中国家的集合体。新形势下，美西方将争取全球南方视为秩序竞争成败的关键，既加强与全球南方合作，又遏制打压、规制同化全球南方，维护其所谓“基于规则的国际秩序”。由此可见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①国家间存在着复杂的利益关系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②构建新型国际关系已经成为世界各国的共识A．①②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B．①③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③传统国际体系正在发生深刻的变革和调整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④发展中国家积极推动国际格局向多极化发展C．②④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D．③④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193675</wp:posOffset>
            </wp:positionV>
            <wp:extent cx="1866900" cy="1114425"/>
            <wp:effectExtent l="0" t="0" r="0" b="0"/>
            <wp:wrapTight wrapText="bothSides">
              <wp:wrapPolygon>
                <wp:start x="0" y="0"/>
                <wp:lineTo x="0" y="21415"/>
                <wp:lineTo x="21380" y="21415"/>
                <wp:lineTo x="21380" y="0"/>
                <wp:lineTo x="0" y="0"/>
              </wp:wrapPolygon>
            </wp:wrapTight>
            <wp:docPr id="100005" name="图片 100005" descr="@@@07263c38e7a64293b8dc1bf53b5a6e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07263c38e7a64293b8dc1bf53b5a6e7a"/>
                    <pic:cNvPicPr>
                      <a:picLocks noChangeAspect="1"/>
                    </pic:cNvPicPr>
                  </pic:nvPicPr>
                  <pic:blipFill>
                    <a:blip r:embed="rId7"/>
                    <a:srcRect l="6372" t="3556" r="6903" b="1844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10．下列选项与漫画（你所认为的绝境，也许是另一个开始）蕴含的哲理一致的是（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A．人间四月芳菲尽，山寺桃花始盛开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B．泾溪石险人兢慎，终岁不闻倾覆人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C．美酒饮教微醉后，好花看到半开时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D．横看成岭侧成峰，远近高低各不同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11．近年来，我国新能源汽车不断发力新赛道锻造新优势，实现了从全球汽车产业追赶者到引领者的蜕变，成为我国外贸出口的“新三样”之一。某校经纬社团探寻其逆势上扬的高质量领跑密码，并将相关情况汇集如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供给端：政企联动，夯实电池、电机、电控等核心关键技术优势，在全球范围内取得规模代际化的换道先发优势；在传感器、软件、芯片等领域，国产化替代正在加快步伐，将与全球行业巨头共创全新的技术格局和未来的出行生态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消费端：深耕国内市场：延续免征新能源汽车购置税；向下沉市场挖潜，推动新能源汽车下乡；向细分市场挖潜，注重多元化、个性化的消费体验。拓展海外市场：支持新能源汽车企业加快建设海外营销和售后服务网络，加大品牌宣传推广力度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使用端：加大配套充电桩、换电站、服务网点等布局，鼓励各类充换电设施实现互联互通；针对新能源汽车的使用，出台停车、通行等方面的优惠政策，提高新能源汽车的使用便利性和舒适度。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结合材料，运用《经济与社会》《当代世界政治与经济》，分析我国新能源汽车如何走好高质量发展之路的。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9分</w:t>
      </w:r>
      <w:r>
        <w:rPr>
          <w:rFonts w:hint="eastAsia" w:ascii="宋体" w:hAnsi="宋体" w:cs="宋体"/>
          <w:lang w:eastAsia="zh-CN"/>
        </w:rPr>
        <w:t>）</w:t>
      </w:r>
    </w:p>
    <w:p>
      <w:pPr>
        <w:widowControl/>
        <w:spacing w:line="312" w:lineRule="auto"/>
        <w:jc w:val="left"/>
        <w:rPr>
          <w:rFonts w:ascii="黑体" w:hAnsi="宋体" w:eastAsia="黑体" w:cs="黑体"/>
          <w:b/>
          <w:bCs/>
          <w:color w:val="000000"/>
          <w:szCs w:val="21"/>
          <w:u w:val="dotted"/>
          <w:lang w:bidi="ar"/>
        </w:rPr>
      </w:pPr>
      <w:r>
        <w:rPr>
          <w:rFonts w:hint="eastAsia" w:ascii="黑体" w:hAnsi="宋体" w:eastAsia="黑体" w:cs="黑体"/>
          <w:b/>
          <w:bCs/>
          <w:color w:val="000000"/>
          <w:szCs w:val="21"/>
          <w:lang w:bidi="ar"/>
        </w:rPr>
        <w:t>【答】</w:t>
      </w:r>
      <w:r>
        <w:rPr>
          <w:rFonts w:hint="eastAsia" w:ascii="黑体" w:hAnsi="宋体" w:eastAsia="黑体" w:cs="黑体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</w:t>
      </w:r>
    </w:p>
    <w:p>
      <w:pPr>
        <w:widowControl/>
        <w:spacing w:line="312" w:lineRule="auto"/>
        <w:jc w:val="left"/>
        <w:rPr>
          <w:rFonts w:ascii="黑体" w:hAnsi="宋体" w:eastAsia="黑体" w:cs="黑体"/>
          <w:b/>
          <w:bCs/>
          <w:color w:val="000000"/>
          <w:szCs w:val="21"/>
          <w:u w:val="dotted"/>
          <w:lang w:bidi="ar"/>
        </w:rPr>
      </w:pPr>
      <w:r>
        <w:rPr>
          <w:rFonts w:hint="eastAsia" w:ascii="黑体" w:hAnsi="宋体" w:eastAsia="黑体" w:cs="黑体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 </w:t>
      </w:r>
    </w:p>
    <w:p>
      <w:pPr>
        <w:widowControl/>
        <w:spacing w:line="312" w:lineRule="auto"/>
        <w:jc w:val="left"/>
        <w:rPr>
          <w:rFonts w:ascii="黑体" w:hAnsi="宋体" w:eastAsia="黑体" w:cs="黑体"/>
          <w:b/>
          <w:bCs/>
          <w:color w:val="000000"/>
          <w:szCs w:val="21"/>
          <w:u w:val="dotted"/>
          <w:lang w:bidi="ar"/>
        </w:rPr>
      </w:pPr>
      <w:r>
        <w:rPr>
          <w:rFonts w:hint="eastAsia" w:ascii="黑体" w:hAnsi="宋体" w:eastAsia="黑体" w:cs="黑体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>
      <w:pPr>
        <w:widowControl/>
        <w:spacing w:line="312" w:lineRule="auto"/>
        <w:jc w:val="left"/>
        <w:rPr>
          <w:rFonts w:ascii="黑体" w:hAnsi="宋体" w:eastAsia="黑体" w:cs="黑体"/>
          <w:b/>
          <w:bCs/>
          <w:color w:val="000000"/>
          <w:szCs w:val="21"/>
          <w:u w:val="dotted"/>
          <w:lang w:bidi="ar"/>
        </w:rPr>
      </w:pPr>
      <w:r>
        <w:rPr>
          <w:rFonts w:hint="eastAsia" w:ascii="黑体" w:hAnsi="宋体" w:eastAsia="黑体" w:cs="黑体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 </w:t>
      </w:r>
    </w:p>
    <w:p>
      <w:pPr>
        <w:widowControl/>
        <w:spacing w:line="312" w:lineRule="auto"/>
        <w:jc w:val="left"/>
        <w:rPr>
          <w:rFonts w:ascii="黑体" w:hAnsi="宋体" w:eastAsia="黑体" w:cs="黑体"/>
          <w:b/>
          <w:bCs/>
          <w:color w:val="000000"/>
          <w:szCs w:val="21"/>
          <w:u w:val="dotted"/>
          <w:lang w:bidi="ar"/>
        </w:rPr>
      </w:pPr>
      <w:r>
        <w:rPr>
          <w:rFonts w:hint="eastAsia" w:ascii="黑体" w:hAnsi="宋体" w:eastAsia="黑体" w:cs="黑体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 </w:t>
      </w:r>
    </w:p>
    <w:p>
      <w:pPr>
        <w:widowControl/>
        <w:spacing w:line="312" w:lineRule="auto"/>
        <w:jc w:val="left"/>
        <w:rPr>
          <w:rFonts w:ascii="黑体" w:hAnsi="宋体" w:eastAsia="黑体" w:cs="黑体"/>
          <w:b/>
          <w:bCs/>
          <w:color w:val="000000"/>
          <w:szCs w:val="21"/>
          <w:u w:val="dotted"/>
          <w:lang w:bidi="ar"/>
        </w:rPr>
      </w:pPr>
      <w:r>
        <w:rPr>
          <w:rFonts w:hint="eastAsia" w:ascii="黑体" w:hAnsi="宋体" w:eastAsia="黑体" w:cs="黑体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>
      <w:pPr>
        <w:widowControl/>
        <w:spacing w:line="312" w:lineRule="auto"/>
        <w:jc w:val="left"/>
        <w:rPr>
          <w:rFonts w:ascii="黑体" w:hAnsi="宋体" w:eastAsia="黑体" w:cs="黑体"/>
          <w:b/>
          <w:bCs/>
          <w:color w:val="000000"/>
          <w:szCs w:val="21"/>
          <w:u w:val="dotted"/>
          <w:lang w:bidi="ar"/>
        </w:rPr>
      </w:pPr>
      <w:r>
        <w:rPr>
          <w:rFonts w:hint="eastAsia" w:ascii="黑体" w:hAnsi="宋体" w:eastAsia="黑体" w:cs="黑体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黑体" w:hAnsi="宋体" w:eastAsia="黑体" w:cs="黑体"/>
          <w:b/>
          <w:bCs/>
          <w:color w:val="000000"/>
          <w:szCs w:val="21"/>
          <w:u w:val="dotted"/>
          <w:lang w:bidi="ar"/>
        </w:rPr>
      </w:pPr>
      <w:r>
        <w:rPr>
          <w:rFonts w:hint="eastAsia" w:ascii="黑体" w:hAnsi="宋体" w:eastAsia="黑体" w:cs="黑体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黑体" w:hAnsi="宋体" w:eastAsia="黑体" w:cs="黑体"/>
          <w:b/>
          <w:bCs/>
          <w:color w:val="000000"/>
          <w:szCs w:val="21"/>
          <w:u w:val="dotted"/>
          <w:lang w:bidi="ar"/>
        </w:rPr>
      </w:pPr>
      <w:r>
        <w:rPr>
          <w:rFonts w:hint="eastAsia" w:ascii="黑体" w:hAnsi="宋体" w:eastAsia="黑体" w:cs="黑体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</w:t>
      </w:r>
    </w:p>
    <w:p>
      <w:pPr>
        <w:widowControl/>
        <w:spacing w:line="312" w:lineRule="auto"/>
        <w:jc w:val="left"/>
        <w:rPr>
          <w:rFonts w:ascii="黑体" w:hAnsi="宋体" w:eastAsia="黑体" w:cs="黑体"/>
          <w:b/>
          <w:bCs/>
          <w:color w:val="000000"/>
          <w:szCs w:val="21"/>
          <w:u w:val="dotted"/>
          <w:lang w:bidi="ar"/>
        </w:rPr>
      </w:pPr>
      <w:r>
        <w:rPr>
          <w:rFonts w:hint="eastAsia" w:ascii="黑体" w:hAnsi="宋体" w:eastAsia="黑体" w:cs="黑体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黑体" w:hAnsi="宋体" w:eastAsia="黑体" w:cs="黑体"/>
          <w:b/>
          <w:bCs/>
          <w:color w:val="000000"/>
          <w:szCs w:val="21"/>
          <w:u w:val="dotted"/>
          <w:lang w:bidi="ar"/>
        </w:rPr>
      </w:pPr>
      <w:r>
        <w:rPr>
          <w:rFonts w:hint="eastAsia" w:ascii="黑体" w:hAnsi="宋体" w:eastAsia="黑体" w:cs="黑体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黑体" w:hAnsi="宋体" w:eastAsia="黑体" w:cs="黑体"/>
          <w:b/>
          <w:bCs/>
          <w:color w:val="000000"/>
          <w:szCs w:val="21"/>
          <w:u w:val="dotted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</w:t>
      </w:r>
      <w:r>
        <w:rPr>
          <w:rFonts w:hint="eastAsia" w:ascii="黑体" w:hAnsi="宋体" w:eastAsia="黑体" w:cs="黑体"/>
          <w:b/>
          <w:bCs/>
          <w:color w:val="000000"/>
          <w:szCs w:val="21"/>
          <w:u w:val="dotted"/>
          <w:lang w:val="en-US" w:eastAsia="zh-CN" w:bidi="ar"/>
        </w:rPr>
        <w:t xml:space="preserve"> </w:t>
      </w:r>
    </w:p>
    <w:p>
      <w:pPr>
        <w:widowControl/>
        <w:spacing w:line="312" w:lineRule="auto"/>
        <w:jc w:val="left"/>
        <w:rPr>
          <w:rFonts w:ascii="黑体" w:hAnsi="宋体" w:eastAsia="黑体" w:cs="黑体"/>
          <w:b/>
          <w:bCs/>
          <w:color w:val="000000"/>
          <w:szCs w:val="21"/>
          <w:u w:val="dotted"/>
          <w:lang w:bidi="ar"/>
        </w:rPr>
      </w:pPr>
      <w:r>
        <w:rPr>
          <w:rFonts w:hint="eastAsia" w:ascii="黑体" w:hAnsi="宋体" w:eastAsia="黑体" w:cs="黑体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黑体" w:hAnsi="宋体" w:eastAsia="黑体" w:cs="黑体"/>
          <w:b/>
          <w:bCs/>
          <w:color w:val="000000"/>
          <w:szCs w:val="21"/>
          <w:u w:val="dotted"/>
          <w:lang w:bidi="ar"/>
        </w:rPr>
      </w:pPr>
      <w:r>
        <w:rPr>
          <w:rFonts w:hint="eastAsia" w:ascii="黑体" w:hAnsi="宋体" w:eastAsia="黑体" w:cs="黑体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</w:t>
      </w:r>
      <w:bookmarkStart w:id="0" w:name="_GoBack"/>
      <w:bookmarkEnd w:id="0"/>
    </w:p>
    <w:sectPr>
      <w:footerReference r:id="rId3" w:type="default"/>
      <w:footerReference r:id="rId4" w:type="even"/>
      <w:pgSz w:w="11907" w:h="16839"/>
      <w:pgMar w:top="720" w:right="720" w:bottom="720" w:left="720" w:header="227" w:footer="227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  <w:lang w:eastAsia="zh-CN"/>
      </w:rPr>
      <w:t>练习</w:t>
    </w: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  <w:lang w:eastAsia="zh-CN"/>
      </w:rPr>
      <w:t>练习</w:t>
    </w: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kNjM0ZDE3MDI5NTk1OTYzMWZiN2RiODcyZjQ4YWIifQ=="/>
  </w:docVars>
  <w:rsids>
    <w:rsidRoot w:val="00C806B0"/>
    <w:rsid w:val="00043B54"/>
    <w:rsid w:val="001D7A06"/>
    <w:rsid w:val="00284433"/>
    <w:rsid w:val="002A1EC6"/>
    <w:rsid w:val="002E035E"/>
    <w:rsid w:val="006B16C5"/>
    <w:rsid w:val="00776133"/>
    <w:rsid w:val="00855687"/>
    <w:rsid w:val="008C07DE"/>
    <w:rsid w:val="00A30CCE"/>
    <w:rsid w:val="00AC3E9C"/>
    <w:rsid w:val="00BC4F14"/>
    <w:rsid w:val="00BC62FB"/>
    <w:rsid w:val="00BF535F"/>
    <w:rsid w:val="00C806B0"/>
    <w:rsid w:val="00E476EE"/>
    <w:rsid w:val="00E52FB7"/>
    <w:rsid w:val="00EF035E"/>
    <w:rsid w:val="04204F69"/>
    <w:rsid w:val="290E02EA"/>
    <w:rsid w:val="36573012"/>
    <w:rsid w:val="4B132F8D"/>
    <w:rsid w:val="4CF84E9D"/>
    <w:rsid w:val="4F44066C"/>
    <w:rsid w:val="72AC3A77"/>
    <w:rsid w:val="75821F46"/>
    <w:rsid w:val="792E5DE1"/>
    <w:rsid w:val="7ADD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网格型1"/>
    <w:unhideWhenUsed/>
    <w:qFormat/>
    <w:uiPriority w:val="99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徐蓉</cp:lastModifiedBy>
  <dcterms:modified xsi:type="dcterms:W3CDTF">2023-12-15T04:18:33Z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00748c14566443c5a6dbbefc9de38211mtm0oty3ntc0mg</vt:lpwstr>
  </property>
  <property fmtid="{D5CDD505-2E9C-101B-9397-08002B2CF9AE}" pid="4" name="KSOProductBuildVer">
    <vt:lpwstr>2052-12.1.0.15990</vt:lpwstr>
  </property>
  <property fmtid="{D5CDD505-2E9C-101B-9397-08002B2CF9AE}" pid="5" name="ICV">
    <vt:lpwstr>44F7C98365034BE8A2E5C53A572A1342_12</vt:lpwstr>
  </property>
</Properties>
</file>