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900"/>
        </w:tabs>
        <w:kinsoku/>
        <w:wordWrap/>
        <w:overflowPunct/>
        <w:topLinePunct w:val="0"/>
        <w:autoSpaceDE/>
        <w:autoSpaceDN/>
        <w:bidi w:val="0"/>
        <w:adjustRightInd/>
        <w:snapToGrid w:val="0"/>
        <w:spacing w:line="300" w:lineRule="auto"/>
        <w:ind w:right="155" w:rightChars="74"/>
        <w:jc w:val="center"/>
        <w:textAlignment w:val="auto"/>
        <w:rPr>
          <w:rFonts w:ascii="宋体" w:hAnsi="宋体"/>
          <w:b/>
          <w:sz w:val="32"/>
          <w:szCs w:val="32"/>
        </w:rPr>
      </w:pPr>
      <w:r>
        <w:rPr>
          <w:sz w:val="24"/>
          <w:szCs w:val="28"/>
        </w:rPr>
        <w:t xml:space="preserve"> </w:t>
      </w:r>
      <w:r>
        <w:rPr>
          <w:rFonts w:hint="eastAsia" w:ascii="宋体" w:hAnsi="宋体"/>
          <w:b/>
          <w:sz w:val="32"/>
          <w:szCs w:val="32"/>
        </w:rPr>
        <w:t>20</w:t>
      </w:r>
      <w:r>
        <w:rPr>
          <w:rFonts w:ascii="宋体" w:hAnsi="宋体"/>
          <w:b/>
          <w:sz w:val="32"/>
          <w:szCs w:val="32"/>
        </w:rPr>
        <w:t>23</w:t>
      </w:r>
      <w:r>
        <w:rPr>
          <w:rFonts w:hint="eastAsia" w:ascii="宋体" w:hAnsi="宋体"/>
          <w:b/>
          <w:sz w:val="32"/>
          <w:szCs w:val="32"/>
        </w:rPr>
        <w:t>-20</w:t>
      </w:r>
      <w:r>
        <w:rPr>
          <w:rFonts w:ascii="宋体" w:hAnsi="宋体"/>
          <w:b/>
          <w:sz w:val="32"/>
          <w:szCs w:val="32"/>
        </w:rPr>
        <w:t>24</w:t>
      </w:r>
      <w:r>
        <w:rPr>
          <w:rFonts w:hint="eastAsia" w:ascii="宋体" w:hAnsi="宋体"/>
          <w:b/>
          <w:sz w:val="32"/>
          <w:szCs w:val="32"/>
        </w:rPr>
        <w:t>学年第一学期高三1</w:t>
      </w:r>
      <w:r>
        <w:rPr>
          <w:rFonts w:ascii="宋体" w:hAnsi="宋体"/>
          <w:b/>
          <w:sz w:val="32"/>
          <w:szCs w:val="32"/>
        </w:rPr>
        <w:t>0</w:t>
      </w:r>
      <w:r>
        <w:rPr>
          <w:rFonts w:hint="eastAsia" w:ascii="宋体" w:hAnsi="宋体"/>
          <w:b/>
          <w:sz w:val="32"/>
          <w:szCs w:val="32"/>
        </w:rPr>
        <w:t>月联考</w:t>
      </w:r>
    </w:p>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sz w:val="24"/>
          <w:szCs w:val="28"/>
        </w:rPr>
      </w:pPr>
      <w:r>
        <w:rPr>
          <w:rFonts w:hint="eastAsia" w:ascii="黑体" w:hAnsi="黑体" w:eastAsia="黑体"/>
          <w:b/>
          <w:bCs/>
          <w:sz w:val="30"/>
          <w:szCs w:val="30"/>
          <w:lang w:val="en-US" w:eastAsia="zh-CN"/>
        </w:rPr>
        <w:t>政治</w:t>
      </w:r>
      <w:r>
        <w:rPr>
          <w:rFonts w:hint="eastAsia" w:ascii="黑体" w:hAnsi="黑体" w:eastAsia="黑体"/>
          <w:b/>
          <w:bCs/>
          <w:sz w:val="30"/>
          <w:szCs w:val="30"/>
        </w:rPr>
        <w:t>试题</w:t>
      </w:r>
    </w:p>
    <w:p>
      <w:pPr>
        <w:keepNext w:val="0"/>
        <w:keepLines w:val="0"/>
        <w:pageBreakBefore w:val="0"/>
        <w:widowControl w:val="0"/>
        <w:kinsoku/>
        <w:wordWrap/>
        <w:overflowPunct/>
        <w:topLinePunct w:val="0"/>
        <w:autoSpaceDE/>
        <w:autoSpaceDN/>
        <w:bidi w:val="0"/>
        <w:adjustRightInd/>
        <w:spacing w:line="300" w:lineRule="auto"/>
        <w:jc w:val="center"/>
        <w:textAlignment w:val="auto"/>
      </w:pPr>
      <w:r>
        <w:rPr>
          <w:rFonts w:hint="eastAsia" w:ascii="宋体" w:hAnsi="宋体"/>
          <w:bCs/>
          <w:sz w:val="24"/>
        </w:rPr>
        <w:t>分值：1</w:t>
      </w:r>
      <w:r>
        <w:rPr>
          <w:rFonts w:hint="eastAsia" w:ascii="宋体" w:hAnsi="宋体"/>
          <w:bCs/>
          <w:sz w:val="24"/>
          <w:lang w:val="en-US" w:eastAsia="zh-CN"/>
        </w:rPr>
        <w:t>0</w:t>
      </w:r>
      <w:r>
        <w:rPr>
          <w:rFonts w:hint="eastAsia" w:ascii="宋体" w:hAnsi="宋体"/>
          <w:bCs/>
          <w:sz w:val="24"/>
        </w:rPr>
        <w:t>0分   时间：</w:t>
      </w:r>
      <w:r>
        <w:rPr>
          <w:rFonts w:hint="eastAsia" w:ascii="宋体" w:hAnsi="宋体"/>
          <w:bCs/>
          <w:sz w:val="24"/>
          <w:lang w:val="en-US" w:eastAsia="zh-CN"/>
        </w:rPr>
        <w:t>75</w:t>
      </w:r>
      <w:bookmarkStart w:id="0" w:name="_GoBack"/>
      <w:bookmarkEnd w:id="0"/>
      <w:r>
        <w:rPr>
          <w:rFonts w:hint="eastAsia" w:ascii="宋体" w:hAnsi="宋体"/>
          <w:bCs/>
          <w:sz w:val="24"/>
        </w:rPr>
        <w:t>分钟</w:t>
      </w:r>
    </w:p>
    <w:p>
      <w:pPr>
        <w:numPr>
          <w:ilvl w:val="0"/>
          <w:numId w:val="1"/>
        </w:numPr>
        <w:rPr>
          <w:rFonts w:hint="eastAsia"/>
          <w:b/>
          <w:bCs/>
          <w:color w:val="auto"/>
          <w:lang w:val="en-US" w:eastAsia="zh-CN"/>
        </w:rPr>
      </w:pPr>
      <w:r>
        <w:rPr>
          <w:rFonts w:hint="eastAsia"/>
          <w:b/>
          <w:bCs/>
          <w:color w:val="auto"/>
          <w:lang w:val="en-US" w:eastAsia="zh-CN"/>
        </w:rPr>
        <w:t>单选题：共15题，每题3分，共45分。每题只有一个选项最符合题意。</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唯物史观是一般形态的历史哲学，剩余价值理论是资本主义这一特殊社会形态的特殊规律。唯物史观对剩余价值理论的发现有指导作用，剩余价值理论又确证了唯物史观，唯物史观和剩余价值理论从各自的角度论证了共产主义的必然性。这启示我们（</w:t>
      </w:r>
      <w:r>
        <w:rPr>
          <w:rFonts w:hint="eastAsia" w:ascii="宋体" w:hAnsi="宋体" w:eastAsia="宋体" w:cs="宋体"/>
          <w:color w:val="auto"/>
          <w:kern w:val="0"/>
          <w:sz w:val="21"/>
          <w:szCs w:val="21"/>
        </w:rPr>
        <w:t>   </w:t>
      </w:r>
      <w:r>
        <w:rPr>
          <w:rFonts w:hint="eastAsia" w:ascii="宋体" w:hAnsi="宋体" w:eastAsia="宋体" w:cs="宋体"/>
          <w:color w:val="auto"/>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①要以马克思主义唯物史观为指导，遵循人类社会发展的一般规律</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②借助剩余价值学说，认清阶级斗争在阶级社会发展中的巨大作用</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③将唯物史观与剩余价值学说紧密结合，深研科学社会主义发展史</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④在剩余价值学说的指导下丰富发展唯物史观和科学社会主义理论</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00" w:lineRule="auto"/>
        <w:ind w:left="38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A．①②</w:t>
      </w:r>
      <w:r>
        <w:rPr>
          <w:rFonts w:hint="eastAsia" w:ascii="宋体" w:hAnsi="宋体" w:eastAsia="宋体" w:cs="宋体"/>
          <w:color w:val="auto"/>
          <w:sz w:val="21"/>
          <w:szCs w:val="21"/>
        </w:rPr>
        <w:tab/>
      </w:r>
      <w:r>
        <w:rPr>
          <w:rFonts w:hint="eastAsia" w:ascii="宋体" w:hAnsi="宋体" w:eastAsia="宋体" w:cs="宋体"/>
          <w:color w:val="auto"/>
          <w:sz w:val="21"/>
          <w:szCs w:val="21"/>
        </w:rPr>
        <w:t>B．①③</w:t>
      </w:r>
      <w:r>
        <w:rPr>
          <w:rFonts w:hint="eastAsia" w:ascii="宋体" w:hAnsi="宋体" w:eastAsia="宋体" w:cs="宋体"/>
          <w:color w:val="auto"/>
          <w:sz w:val="21"/>
          <w:szCs w:val="21"/>
        </w:rPr>
        <w:tab/>
      </w:r>
      <w:r>
        <w:rPr>
          <w:rFonts w:hint="eastAsia" w:ascii="宋体" w:hAnsi="宋体" w:eastAsia="宋体" w:cs="宋体"/>
          <w:color w:val="auto"/>
          <w:sz w:val="21"/>
          <w:szCs w:val="21"/>
        </w:rPr>
        <w:t>C．②④</w:t>
      </w:r>
      <w:r>
        <w:rPr>
          <w:rFonts w:hint="eastAsia" w:ascii="宋体" w:hAnsi="宋体" w:eastAsia="宋体" w:cs="宋体"/>
          <w:color w:val="auto"/>
          <w:sz w:val="21"/>
          <w:szCs w:val="21"/>
        </w:rPr>
        <w:tab/>
      </w:r>
      <w:r>
        <w:rPr>
          <w:rFonts w:hint="eastAsia" w:ascii="宋体" w:hAnsi="宋体" w:eastAsia="宋体" w:cs="宋体"/>
          <w:color w:val="auto"/>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中国特色社会主义是科学社会主义在中国的实践与发展。面对风云变幻的当今世界，只要把目光投向中国特色社会主义的伟大实践，就不难看到科学社会主义在21世纪焕发出了何等强大的生命力。下列关于科学社会主义的理解，正确的是(</w:t>
      </w:r>
      <w:r>
        <w:rPr>
          <w:rFonts w:hint="eastAsia" w:ascii="宋体" w:hAnsi="宋体" w:eastAsia="宋体" w:cs="宋体"/>
          <w:color w:val="auto"/>
          <w:kern w:val="0"/>
          <w:sz w:val="21"/>
          <w:szCs w:val="21"/>
        </w:rPr>
        <w:t>   </w:t>
      </w:r>
      <w:r>
        <w:rPr>
          <w:rFonts w:hint="eastAsia" w:ascii="宋体" w:hAnsi="宋体" w:eastAsia="宋体" w:cs="宋体"/>
          <w:color w:val="auto"/>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①资本主义的发展和工人运动的兴起——科学社会主义产生的历史前提</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②唯物史观和剩余价值学说揭示了人类社会发展的特殊规律——奠定了科学社会主义的理论基石</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③社会主义从一国到多国的实践——使社会主义实现了由空想到科学的伟大飞跃</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④《共产党宣言》发表——标志着科学社会主义的诞生</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00" w:lineRule="auto"/>
        <w:ind w:left="38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A．①②</w:t>
      </w:r>
      <w:r>
        <w:rPr>
          <w:rFonts w:hint="eastAsia" w:ascii="宋体" w:hAnsi="宋体" w:eastAsia="宋体" w:cs="宋体"/>
          <w:color w:val="auto"/>
          <w:sz w:val="21"/>
          <w:szCs w:val="21"/>
        </w:rPr>
        <w:tab/>
      </w:r>
      <w:r>
        <w:rPr>
          <w:rFonts w:hint="eastAsia" w:ascii="宋体" w:hAnsi="宋体" w:eastAsia="宋体" w:cs="宋体"/>
          <w:color w:val="auto"/>
          <w:sz w:val="21"/>
          <w:szCs w:val="21"/>
        </w:rPr>
        <w:t>B．②③</w:t>
      </w:r>
      <w:r>
        <w:rPr>
          <w:rFonts w:hint="eastAsia" w:ascii="宋体" w:hAnsi="宋体" w:eastAsia="宋体" w:cs="宋体"/>
          <w:color w:val="auto"/>
          <w:sz w:val="21"/>
          <w:szCs w:val="21"/>
        </w:rPr>
        <w:tab/>
      </w:r>
      <w:r>
        <w:rPr>
          <w:rFonts w:hint="eastAsia" w:ascii="宋体" w:hAnsi="宋体" w:eastAsia="宋体" w:cs="宋体"/>
          <w:color w:val="auto"/>
          <w:sz w:val="21"/>
          <w:szCs w:val="21"/>
        </w:rPr>
        <w:t>C．①④</w:t>
      </w:r>
      <w:r>
        <w:rPr>
          <w:rFonts w:hint="eastAsia" w:ascii="宋体" w:hAnsi="宋体" w:eastAsia="宋体" w:cs="宋体"/>
          <w:color w:val="auto"/>
          <w:sz w:val="21"/>
          <w:szCs w:val="21"/>
        </w:rPr>
        <w:tab/>
      </w:r>
      <w:r>
        <w:rPr>
          <w:rFonts w:hint="eastAsia" w:ascii="宋体" w:hAnsi="宋体" w:eastAsia="宋体" w:cs="宋体"/>
          <w:color w:val="auto"/>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习近平指出：“党的百年奋斗成功道路是党领导人民独立自主探索开辟出来的，马克思主义的中国篇章是中国共产党人依靠自身力量实践出来的，贯穿其中的一个基本点就是中国的问题必须从中国基本国情出发，由中国人自己来解答。”其中蕴含的道理是（</w:t>
      </w:r>
      <w:r>
        <w:rPr>
          <w:rFonts w:hint="eastAsia" w:ascii="宋体" w:hAnsi="宋体" w:eastAsia="宋体" w:cs="宋体"/>
          <w:color w:val="auto"/>
          <w:kern w:val="0"/>
          <w:sz w:val="21"/>
          <w:szCs w:val="21"/>
        </w:rPr>
        <w:t>    </w:t>
      </w:r>
      <w:r>
        <w:rPr>
          <w:rFonts w:hint="eastAsia" w:ascii="宋体" w:hAnsi="宋体" w:eastAsia="宋体" w:cs="宋体"/>
          <w:color w:val="auto"/>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①自力更生自强不息是中国共产党奋斗成功的根本保证</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②中国共产党百年奋斗实践丰富发展了马克思主义</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③马克思主义必须与中国国情相结合才能指导中国革命</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④马克思主义创始人书写的中国革命篇章是中国革命的航标灯</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00" w:lineRule="auto"/>
        <w:ind w:left="30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A．①③</w:t>
      </w:r>
      <w:r>
        <w:rPr>
          <w:rFonts w:hint="eastAsia" w:ascii="宋体" w:hAnsi="宋体" w:eastAsia="宋体" w:cs="宋体"/>
          <w:color w:val="auto"/>
          <w:sz w:val="21"/>
          <w:szCs w:val="21"/>
        </w:rPr>
        <w:tab/>
      </w:r>
      <w:r>
        <w:rPr>
          <w:rFonts w:hint="eastAsia" w:ascii="宋体" w:hAnsi="宋体" w:eastAsia="宋体" w:cs="宋体"/>
          <w:color w:val="auto"/>
          <w:sz w:val="21"/>
          <w:szCs w:val="21"/>
        </w:rPr>
        <w:t>B．①④</w:t>
      </w:r>
      <w:r>
        <w:rPr>
          <w:rFonts w:hint="eastAsia" w:ascii="宋体" w:hAnsi="宋体" w:eastAsia="宋体" w:cs="宋体"/>
          <w:color w:val="auto"/>
          <w:sz w:val="21"/>
          <w:szCs w:val="21"/>
        </w:rPr>
        <w:tab/>
      </w:r>
      <w:r>
        <w:rPr>
          <w:rFonts w:hint="eastAsia" w:ascii="宋体" w:hAnsi="宋体" w:eastAsia="宋体" w:cs="宋体"/>
          <w:color w:val="auto"/>
          <w:sz w:val="21"/>
          <w:szCs w:val="21"/>
        </w:rPr>
        <w:t>C．②③</w:t>
      </w:r>
      <w:r>
        <w:rPr>
          <w:rFonts w:hint="eastAsia" w:ascii="宋体" w:hAnsi="宋体" w:eastAsia="宋体" w:cs="宋体"/>
          <w:color w:val="auto"/>
          <w:sz w:val="21"/>
          <w:szCs w:val="21"/>
        </w:rPr>
        <w:tab/>
      </w:r>
      <w:r>
        <w:rPr>
          <w:rFonts w:hint="eastAsia" w:ascii="宋体" w:hAnsi="宋体" w:eastAsia="宋体" w:cs="宋体"/>
          <w:color w:val="auto"/>
          <w:sz w:val="21"/>
          <w:szCs w:val="21"/>
        </w:rPr>
        <w:t>D．②④</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．某省省属国有企业在快速发展的过程中，也存在不同程度的低效产能过剩、财务杠杆率高、布局结构不合理等问题，集中表现为省属企业“小、散、弱”</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亟待新一轮重组优化。目前该省省属国有企业战略重组目标已基本实现。这表明国企战略重组有利于（</w:t>
      </w:r>
      <w:r>
        <w:rPr>
          <w:rFonts w:hint="eastAsia" w:ascii="宋体" w:hAnsi="宋体" w:eastAsia="宋体" w:cs="宋体"/>
          <w:color w:val="auto"/>
          <w:kern w:val="0"/>
          <w:sz w:val="21"/>
          <w:szCs w:val="21"/>
        </w:rPr>
        <w:t>   </w:t>
      </w:r>
      <w:r>
        <w:rPr>
          <w:rFonts w:hint="eastAsia" w:ascii="宋体" w:hAnsi="宋体" w:eastAsia="宋体" w:cs="宋体"/>
          <w:color w:val="auto"/>
          <w:sz w:val="21"/>
          <w:szCs w:val="21"/>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410"/>
        <w:gridCol w:w="7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41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重组四大原则</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☆强化功能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明确定位。</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☆整体规划</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分步实施。</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☆突出主业</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合理归并。</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☆开放重组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有进有退。</w:t>
            </w:r>
          </w:p>
        </w:tc>
        <w:tc>
          <w:tcPr>
            <w:tcW w:w="7469"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重组目标</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☆70%以上省属国有资本集中到基础性、公共性、平台性、引领性等重要行业和关键领域。</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☆85%以上国有资本集中在资产超千亿的大企业、大集团。</w:t>
            </w:r>
          </w:p>
        </w:tc>
      </w:tr>
    </w:tbl>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①完善企业治理结构，规避金融风险，扩大国企规模，增强其竞争力</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②发展混合所有制经济，发挥各种所有制的长处，激发市场经济活力</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③增强对重要行业和关键领域的控制力，发挥国有经济的主导作用</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④国有经济布局优化和结构调整，做强做优做大国有资本和国有企业</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00" w:lineRule="auto"/>
        <w:ind w:left="30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A．①②</w:t>
      </w:r>
      <w:r>
        <w:rPr>
          <w:rFonts w:hint="eastAsia" w:ascii="宋体" w:hAnsi="宋体" w:eastAsia="宋体" w:cs="宋体"/>
          <w:color w:val="auto"/>
          <w:sz w:val="21"/>
          <w:szCs w:val="21"/>
        </w:rPr>
        <w:tab/>
      </w:r>
      <w:r>
        <w:rPr>
          <w:rFonts w:hint="eastAsia" w:ascii="宋体" w:hAnsi="宋体" w:eastAsia="宋体" w:cs="宋体"/>
          <w:color w:val="auto"/>
          <w:sz w:val="21"/>
          <w:szCs w:val="21"/>
        </w:rPr>
        <w:t>B．①③</w:t>
      </w:r>
      <w:r>
        <w:rPr>
          <w:rFonts w:hint="eastAsia" w:ascii="宋体" w:hAnsi="宋体" w:eastAsia="宋体" w:cs="宋体"/>
          <w:color w:val="auto"/>
          <w:sz w:val="21"/>
          <w:szCs w:val="21"/>
        </w:rPr>
        <w:tab/>
      </w:r>
      <w:r>
        <w:rPr>
          <w:rFonts w:hint="eastAsia" w:ascii="宋体" w:hAnsi="宋体" w:eastAsia="宋体" w:cs="宋体"/>
          <w:color w:val="auto"/>
          <w:sz w:val="21"/>
          <w:szCs w:val="21"/>
        </w:rPr>
        <w:t>C．②④</w:t>
      </w:r>
      <w:r>
        <w:rPr>
          <w:rFonts w:hint="eastAsia" w:ascii="宋体" w:hAnsi="宋体" w:eastAsia="宋体" w:cs="宋体"/>
          <w:color w:val="auto"/>
          <w:sz w:val="21"/>
          <w:szCs w:val="21"/>
        </w:rPr>
        <w:tab/>
      </w:r>
      <w:r>
        <w:rPr>
          <w:rFonts w:hint="eastAsia" w:ascii="宋体" w:hAnsi="宋体" w:eastAsia="宋体" w:cs="宋体"/>
          <w:color w:val="auto"/>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2023年7月19日《中共中央国务院关于促进民营经济发展壮大的意见》发布。意见提出，要持续优化民营经济发展环境，加大对民营经济政策支持力度，强化民营经济发展法治保障，着力推动民营经济实现高质量发展，促进民营经济人士健康成长，持续营造关心促进民营经济发展壮大的社会氛围。这是因为（</w:t>
      </w:r>
      <w:r>
        <w:rPr>
          <w:rFonts w:hint="eastAsia" w:ascii="宋体" w:hAnsi="宋体" w:eastAsia="宋体" w:cs="宋体"/>
          <w:color w:val="auto"/>
          <w:kern w:val="0"/>
          <w:sz w:val="21"/>
          <w:szCs w:val="21"/>
        </w:rPr>
        <w:t>   </w:t>
      </w:r>
      <w:r>
        <w:rPr>
          <w:rFonts w:hint="eastAsia" w:ascii="宋体" w:hAnsi="宋体" w:eastAsia="宋体" w:cs="宋体"/>
          <w:color w:val="auto"/>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①民营经济是推进中国式现代化的生力军</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②要毫不动摇的鼓励、支持、引导非公有制经济的发展</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③民营经济成为了中国特色社会主义的重要物质基础和政治基础</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④民营经济在稳定居民就业方面具有重要作用</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00" w:lineRule="auto"/>
        <w:ind w:left="38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A．①②</w:t>
      </w:r>
      <w:r>
        <w:rPr>
          <w:rFonts w:hint="eastAsia" w:ascii="宋体" w:hAnsi="宋体" w:eastAsia="宋体" w:cs="宋体"/>
          <w:color w:val="auto"/>
          <w:sz w:val="21"/>
          <w:szCs w:val="21"/>
        </w:rPr>
        <w:tab/>
      </w:r>
      <w:r>
        <w:rPr>
          <w:rFonts w:hint="eastAsia" w:ascii="宋体" w:hAnsi="宋体" w:eastAsia="宋体" w:cs="宋体"/>
          <w:color w:val="auto"/>
          <w:sz w:val="21"/>
          <w:szCs w:val="21"/>
        </w:rPr>
        <w:t>B．①④</w:t>
      </w:r>
      <w:r>
        <w:rPr>
          <w:rFonts w:hint="eastAsia" w:ascii="宋体" w:hAnsi="宋体" w:eastAsia="宋体" w:cs="宋体"/>
          <w:color w:val="auto"/>
          <w:sz w:val="21"/>
          <w:szCs w:val="21"/>
        </w:rPr>
        <w:tab/>
      </w:r>
      <w:r>
        <w:rPr>
          <w:rFonts w:hint="eastAsia" w:ascii="宋体" w:hAnsi="宋体" w:eastAsia="宋体" w:cs="宋体"/>
          <w:color w:val="auto"/>
          <w:sz w:val="21"/>
          <w:szCs w:val="21"/>
        </w:rPr>
        <w:t>C．②③</w:t>
      </w:r>
      <w:r>
        <w:rPr>
          <w:rFonts w:hint="eastAsia" w:ascii="宋体" w:hAnsi="宋体" w:eastAsia="宋体" w:cs="宋体"/>
          <w:color w:val="auto"/>
          <w:sz w:val="21"/>
          <w:szCs w:val="21"/>
        </w:rPr>
        <w:tab/>
      </w:r>
      <w:r>
        <w:rPr>
          <w:rFonts w:hint="eastAsia" w:ascii="宋体" w:hAnsi="宋体" w:eastAsia="宋体" w:cs="宋体"/>
          <w:color w:val="auto"/>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．根据下列供应链示意图，在当前我国面临“供给冲击、需求收缩、预期转弱”三重经济压力的形势下，下列所给措施中有助于保持我国供应链稳定的有（</w:t>
      </w:r>
      <w:r>
        <w:rPr>
          <w:rFonts w:hint="eastAsia" w:ascii="宋体" w:hAnsi="宋体" w:eastAsia="宋体" w:cs="宋体"/>
          <w:color w:val="auto"/>
          <w:kern w:val="0"/>
          <w:sz w:val="21"/>
          <w:szCs w:val="21"/>
        </w:rPr>
        <w:t>    </w:t>
      </w:r>
      <w:r>
        <w:rPr>
          <w:rFonts w:hint="eastAsia" w:ascii="宋体" w:hAnsi="宋体" w:eastAsia="宋体" w:cs="宋体"/>
          <w:color w:val="auto"/>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rPr>
      </w:pPr>
      <w:r>
        <w:rPr>
          <w:rFonts w:hint="eastAsia" w:ascii="宋体" w:hAnsi="宋体" w:eastAsia="宋体" w:cs="宋体"/>
          <w:strike w:val="0"/>
          <w:color w:val="auto"/>
          <w:kern w:val="0"/>
          <w:sz w:val="21"/>
          <w:szCs w:val="21"/>
          <w:u w:val="none"/>
        </w:rPr>
        <w:drawing>
          <wp:inline distT="0" distB="0" distL="114300" distR="114300">
            <wp:extent cx="4600575" cy="1095375"/>
            <wp:effectExtent l="0" t="0" r="9525" b="9525"/>
            <wp:docPr id="100003" name="图片 100003" descr="@@@eebfcb6860d0429eaf3f4393e3a20a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eebfcb6860d0429eaf3f4393e3a20a99"/>
                    <pic:cNvPicPr>
                      <a:picLocks noChangeAspect="1"/>
                    </pic:cNvPicPr>
                  </pic:nvPicPr>
                  <pic:blipFill>
                    <a:blip r:embed="rId5"/>
                    <a:stretch>
                      <a:fillRect/>
                    </a:stretch>
                  </pic:blipFill>
                  <pic:spPr>
                    <a:xfrm>
                      <a:off x="0" y="0"/>
                      <a:ext cx="4600575" cy="1095375"/>
                    </a:xfrm>
                    <a:prstGeom prst="rect">
                      <a:avLst/>
                    </a:prstGeom>
                  </pic:spPr>
                </pic:pic>
              </a:graphicData>
            </a:graphic>
          </wp:inline>
        </w:drawing>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①优化收入分配，提高资本和信息要素在初次分配中的比重</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②加快形成供给创造需求、需求牵引供给的高水平动态平衡</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③发挥新型举国体制的作用，推动关键核心技术的自主可控</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④立足国际经济大循环，推动贸易与投资的自由化和便利化</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00" w:lineRule="auto"/>
        <w:ind w:left="38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A．①③</w:t>
      </w:r>
      <w:r>
        <w:rPr>
          <w:rFonts w:hint="eastAsia" w:ascii="宋体" w:hAnsi="宋体" w:eastAsia="宋体" w:cs="宋体"/>
          <w:color w:val="auto"/>
          <w:sz w:val="21"/>
          <w:szCs w:val="21"/>
        </w:rPr>
        <w:tab/>
      </w:r>
      <w:r>
        <w:rPr>
          <w:rFonts w:hint="eastAsia" w:ascii="宋体" w:hAnsi="宋体" w:eastAsia="宋体" w:cs="宋体"/>
          <w:color w:val="auto"/>
          <w:sz w:val="21"/>
          <w:szCs w:val="21"/>
        </w:rPr>
        <w:t>B．①④</w:t>
      </w:r>
      <w:r>
        <w:rPr>
          <w:rFonts w:hint="eastAsia" w:ascii="宋体" w:hAnsi="宋体" w:eastAsia="宋体" w:cs="宋体"/>
          <w:color w:val="auto"/>
          <w:sz w:val="21"/>
          <w:szCs w:val="21"/>
        </w:rPr>
        <w:tab/>
      </w:r>
      <w:r>
        <w:rPr>
          <w:rFonts w:hint="eastAsia" w:ascii="宋体" w:hAnsi="宋体" w:eastAsia="宋体" w:cs="宋体"/>
          <w:color w:val="auto"/>
          <w:sz w:val="21"/>
          <w:szCs w:val="21"/>
        </w:rPr>
        <w:t>C．②③</w:t>
      </w:r>
      <w:r>
        <w:rPr>
          <w:rFonts w:hint="eastAsia" w:ascii="宋体" w:hAnsi="宋体" w:eastAsia="宋体" w:cs="宋体"/>
          <w:color w:val="auto"/>
          <w:sz w:val="21"/>
          <w:szCs w:val="21"/>
        </w:rPr>
        <w:tab/>
      </w:r>
      <w:r>
        <w:rPr>
          <w:rFonts w:hint="eastAsia" w:ascii="宋体" w:hAnsi="宋体" w:eastAsia="宋体" w:cs="宋体"/>
          <w:color w:val="auto"/>
          <w:sz w:val="21"/>
          <w:szCs w:val="21"/>
        </w:rPr>
        <w:t>D．②④</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．2023年上半年金融统计数据情况： 一季度增长较多，4、5月份有所回调，6月份再次回升，总体看是保持平稳运行，流动性合理充裕，信贷结构持续优化，实体经济融资成本稳中有降，金融对经济的支持持续加强。下列货币政策助力经济发展的正确路径是（</w:t>
      </w:r>
      <w:r>
        <w:rPr>
          <w:rFonts w:hint="eastAsia" w:ascii="宋体" w:hAnsi="宋体" w:eastAsia="宋体" w:cs="宋体"/>
          <w:color w:val="auto"/>
          <w:kern w:val="0"/>
          <w:sz w:val="21"/>
          <w:szCs w:val="21"/>
        </w:rPr>
        <w:t>   </w:t>
      </w:r>
      <w:r>
        <w:rPr>
          <w:rFonts w:hint="eastAsia" w:ascii="宋体" w:hAnsi="宋体" w:eastAsia="宋体" w:cs="宋体"/>
          <w:color w:val="auto"/>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①提高存款准备金率→释放市场流动性→不断扩大融资规模→助力经济发展</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②降低存贷基准利率→降低实体经济融资成本→减轻企业负担→增强经济活力</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③加大中央转移支付→绿色转型稳步推进→消费市场回暖升级→激发内在动能</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④继续稳健货币政策→聚焦重点领域薄弱环节→优化信贷结构→增强发展动能</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00" w:lineRule="auto"/>
        <w:ind w:left="38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A．①②</w:t>
      </w:r>
      <w:r>
        <w:rPr>
          <w:rFonts w:hint="eastAsia" w:ascii="宋体" w:hAnsi="宋体" w:eastAsia="宋体" w:cs="宋体"/>
          <w:color w:val="auto"/>
          <w:sz w:val="21"/>
          <w:szCs w:val="21"/>
        </w:rPr>
        <w:tab/>
      </w:r>
      <w:r>
        <w:rPr>
          <w:rFonts w:hint="eastAsia" w:ascii="宋体" w:hAnsi="宋体" w:eastAsia="宋体" w:cs="宋体"/>
          <w:color w:val="auto"/>
          <w:sz w:val="21"/>
          <w:szCs w:val="21"/>
        </w:rPr>
        <w:t>B．①③</w:t>
      </w:r>
      <w:r>
        <w:rPr>
          <w:rFonts w:hint="eastAsia" w:ascii="宋体" w:hAnsi="宋体" w:eastAsia="宋体" w:cs="宋体"/>
          <w:color w:val="auto"/>
          <w:sz w:val="21"/>
          <w:szCs w:val="21"/>
        </w:rPr>
        <w:tab/>
      </w:r>
      <w:r>
        <w:rPr>
          <w:rFonts w:hint="eastAsia" w:ascii="宋体" w:hAnsi="宋体" w:eastAsia="宋体" w:cs="宋体"/>
          <w:color w:val="auto"/>
          <w:sz w:val="21"/>
          <w:szCs w:val="21"/>
        </w:rPr>
        <w:t>C．②④</w:t>
      </w:r>
      <w:r>
        <w:rPr>
          <w:rFonts w:hint="eastAsia" w:ascii="宋体" w:hAnsi="宋体" w:eastAsia="宋体" w:cs="宋体"/>
          <w:color w:val="auto"/>
          <w:sz w:val="21"/>
          <w:szCs w:val="21"/>
        </w:rPr>
        <w:tab/>
      </w:r>
      <w:r>
        <w:rPr>
          <w:rFonts w:hint="eastAsia" w:ascii="宋体" w:hAnsi="宋体" w:eastAsia="宋体" w:cs="宋体"/>
          <w:color w:val="auto"/>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外部性又称为溢出效应，指某种活动给与这项活动无关的主体带来的影响。正外部性指某个行为使非当事人受益或社会受益，而受益者无须花费成本；负外部性指某个行为使非当事人受损或社会受损，而造成负外部性的人却没有为此承担代价。以下政府行为产生外部性的传导机制中，正确的是（</w:t>
      </w:r>
      <w:r>
        <w:rPr>
          <w:rFonts w:hint="eastAsia" w:ascii="宋体" w:hAnsi="宋体" w:eastAsia="宋体" w:cs="宋体"/>
          <w:color w:val="auto"/>
          <w:kern w:val="0"/>
          <w:sz w:val="21"/>
          <w:szCs w:val="21"/>
        </w:rPr>
        <w:t>   </w:t>
      </w:r>
      <w:r>
        <w:rPr>
          <w:rFonts w:hint="eastAsia" w:ascii="宋体" w:hAnsi="宋体" w:eastAsia="宋体" w:cs="宋体"/>
          <w:color w:val="auto"/>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①加强市场监管→企业违法成本提高→经营不善企业破产→布局优化结构调整</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②增加政府支出→政府采购特定商品→提高企业经济效益→企业做强做优做大</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③投资乡村教育→缩小区域教育差距→贫困地区涌现人才→科技创新经济发展</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④健康中国战略→完善医疗卫生服务→人民健康水平提升→促进就业推动发展</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00" w:lineRule="auto"/>
        <w:ind w:left="38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A．①②</w:t>
      </w:r>
      <w:r>
        <w:rPr>
          <w:rFonts w:hint="eastAsia" w:ascii="宋体" w:hAnsi="宋体" w:eastAsia="宋体" w:cs="宋体"/>
          <w:color w:val="auto"/>
          <w:sz w:val="21"/>
          <w:szCs w:val="21"/>
        </w:rPr>
        <w:tab/>
      </w:r>
      <w:r>
        <w:rPr>
          <w:rFonts w:hint="eastAsia" w:ascii="宋体" w:hAnsi="宋体" w:eastAsia="宋体" w:cs="宋体"/>
          <w:color w:val="auto"/>
          <w:sz w:val="21"/>
          <w:szCs w:val="21"/>
        </w:rPr>
        <w:t>B．①③</w:t>
      </w:r>
      <w:r>
        <w:rPr>
          <w:rFonts w:hint="eastAsia" w:ascii="宋体" w:hAnsi="宋体" w:eastAsia="宋体" w:cs="宋体"/>
          <w:color w:val="auto"/>
          <w:sz w:val="21"/>
          <w:szCs w:val="21"/>
        </w:rPr>
        <w:tab/>
      </w:r>
      <w:r>
        <w:rPr>
          <w:rFonts w:hint="eastAsia" w:ascii="宋体" w:hAnsi="宋体" w:eastAsia="宋体" w:cs="宋体"/>
          <w:color w:val="auto"/>
          <w:sz w:val="21"/>
          <w:szCs w:val="21"/>
        </w:rPr>
        <w:t>C．②④</w:t>
      </w:r>
      <w:r>
        <w:rPr>
          <w:rFonts w:hint="eastAsia" w:ascii="宋体" w:hAnsi="宋体" w:eastAsia="宋体" w:cs="宋体"/>
          <w:color w:val="auto"/>
          <w:sz w:val="21"/>
          <w:szCs w:val="21"/>
        </w:rPr>
        <w:tab/>
      </w:r>
      <w:r>
        <w:rPr>
          <w:rFonts w:hint="eastAsia" w:ascii="宋体" w:hAnsi="宋体" w:eastAsia="宋体" w:cs="宋体"/>
          <w:color w:val="auto"/>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悠悠万事，民生为大。一张亮丽的民生成绩单呈现出社会保障事业10年间砥砺前行的基本面貌：基本养老、失业、工伤3项社会保险参保人数分别从2012年的7.9亿人、1.5亿人、1.9亿人增加到2022年6月的10.4亿人、2.3亿人、2.9亿人。同时，6098万建档立卡贫困人口参加基本养老保险，参保率稳定在99.99%以上，基本实现应保尽保。更公平、更可靠、更持续的社会保障体系，正托举着人民群众稳稳的幸福。关于社会保险，以下说法正确的是(</w:t>
      </w:r>
      <w:r>
        <w:rPr>
          <w:rFonts w:hint="eastAsia" w:ascii="宋体" w:hAnsi="宋体" w:eastAsia="宋体" w:cs="宋体"/>
          <w:color w:val="auto"/>
          <w:kern w:val="0"/>
          <w:sz w:val="21"/>
          <w:szCs w:val="21"/>
        </w:rPr>
        <w:t>   </w:t>
      </w:r>
      <w:r>
        <w:rPr>
          <w:rFonts w:hint="eastAsia" w:ascii="宋体" w:hAnsi="宋体" w:eastAsia="宋体" w:cs="宋体"/>
          <w:color w:val="auto"/>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①是保障社会成员生活安全和生存权利的“最后一道防线”</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②是最高层次的社会保障，不断改善和提高社会成员生活</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③是我国社会保障体系的核心，通过三方共同筹集资金</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④充分发挥社会互助功能，推动社会持续健康发展</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00" w:lineRule="auto"/>
        <w:ind w:left="38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A．①②</w:t>
      </w:r>
      <w:r>
        <w:rPr>
          <w:rFonts w:hint="eastAsia" w:ascii="宋体" w:hAnsi="宋体" w:eastAsia="宋体" w:cs="宋体"/>
          <w:color w:val="auto"/>
          <w:sz w:val="21"/>
          <w:szCs w:val="21"/>
        </w:rPr>
        <w:tab/>
      </w:r>
      <w:r>
        <w:rPr>
          <w:rFonts w:hint="eastAsia" w:ascii="宋体" w:hAnsi="宋体" w:eastAsia="宋体" w:cs="宋体"/>
          <w:color w:val="auto"/>
          <w:sz w:val="21"/>
          <w:szCs w:val="21"/>
        </w:rPr>
        <w:t>B．②③</w:t>
      </w:r>
      <w:r>
        <w:rPr>
          <w:rFonts w:hint="eastAsia" w:ascii="宋体" w:hAnsi="宋体" w:eastAsia="宋体" w:cs="宋体"/>
          <w:color w:val="auto"/>
          <w:sz w:val="21"/>
          <w:szCs w:val="21"/>
        </w:rPr>
        <w:tab/>
      </w:r>
      <w:r>
        <w:rPr>
          <w:rFonts w:hint="eastAsia" w:ascii="宋体" w:hAnsi="宋体" w:eastAsia="宋体" w:cs="宋体"/>
          <w:color w:val="auto"/>
          <w:sz w:val="21"/>
          <w:szCs w:val="21"/>
        </w:rPr>
        <w:t>C．①④</w:t>
      </w:r>
      <w:r>
        <w:rPr>
          <w:rFonts w:hint="eastAsia" w:ascii="宋体" w:hAnsi="宋体" w:eastAsia="宋体" w:cs="宋体"/>
          <w:color w:val="auto"/>
          <w:sz w:val="21"/>
          <w:szCs w:val="21"/>
        </w:rPr>
        <w:tab/>
      </w:r>
      <w:r>
        <w:rPr>
          <w:rFonts w:hint="eastAsia" w:ascii="宋体" w:hAnsi="宋体" w:eastAsia="宋体" w:cs="宋体"/>
          <w:color w:val="auto"/>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经过不懈努力，党找到了自我革命这一跳出治乱兴衰历史周期率的第二个答案，自我净化、自我完善、自我革新、自我提高能力显著增强，管党治党宽松软状况得到根本扭转，风清气正的党内政治生态不断形成和发展。党加强自我革命有利于（</w:t>
      </w:r>
      <w:r>
        <w:rPr>
          <w:rFonts w:hint="eastAsia" w:ascii="宋体" w:hAnsi="宋体" w:eastAsia="宋体" w:cs="宋体"/>
          <w:color w:val="auto"/>
          <w:kern w:val="0"/>
          <w:sz w:val="21"/>
          <w:szCs w:val="21"/>
        </w:rPr>
        <w:t>   </w:t>
      </w:r>
      <w:r>
        <w:rPr>
          <w:rFonts w:hint="eastAsia" w:ascii="宋体" w:hAnsi="宋体" w:eastAsia="宋体" w:cs="宋体"/>
          <w:color w:val="auto"/>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①党永葆生机活力，永葆先进性和纯洁性</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②进一步巩固和扩大党长期执政的阶级基础</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③党确立价值追求的人民性，增强党的感召力</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④保持党不懈奋斗的主动性，增强党的战斗力</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00" w:lineRule="auto"/>
        <w:ind w:left="38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A．①③</w:t>
      </w:r>
      <w:r>
        <w:rPr>
          <w:rFonts w:hint="eastAsia" w:ascii="宋体" w:hAnsi="宋体" w:eastAsia="宋体" w:cs="宋体"/>
          <w:color w:val="auto"/>
          <w:sz w:val="21"/>
          <w:szCs w:val="21"/>
        </w:rPr>
        <w:tab/>
      </w:r>
      <w:r>
        <w:rPr>
          <w:rFonts w:hint="eastAsia" w:ascii="宋体" w:hAnsi="宋体" w:eastAsia="宋体" w:cs="宋体"/>
          <w:color w:val="auto"/>
          <w:sz w:val="21"/>
          <w:szCs w:val="21"/>
        </w:rPr>
        <w:t>B．①④</w:t>
      </w:r>
      <w:r>
        <w:rPr>
          <w:rFonts w:hint="eastAsia" w:ascii="宋体" w:hAnsi="宋体" w:eastAsia="宋体" w:cs="宋体"/>
          <w:color w:val="auto"/>
          <w:sz w:val="21"/>
          <w:szCs w:val="21"/>
        </w:rPr>
        <w:tab/>
      </w:r>
      <w:r>
        <w:rPr>
          <w:rFonts w:hint="eastAsia" w:ascii="宋体" w:hAnsi="宋体" w:eastAsia="宋体" w:cs="宋体"/>
          <w:color w:val="auto"/>
          <w:sz w:val="21"/>
          <w:szCs w:val="21"/>
        </w:rPr>
        <w:t>C．②③</w:t>
      </w:r>
      <w:r>
        <w:rPr>
          <w:rFonts w:hint="eastAsia" w:ascii="宋体" w:hAnsi="宋体" w:eastAsia="宋体" w:cs="宋体"/>
          <w:color w:val="auto"/>
          <w:sz w:val="21"/>
          <w:szCs w:val="21"/>
        </w:rPr>
        <w:tab/>
      </w:r>
      <w:r>
        <w:rPr>
          <w:rFonts w:hint="eastAsia" w:ascii="宋体" w:hAnsi="宋体" w:eastAsia="宋体" w:cs="宋体"/>
          <w:color w:val="auto"/>
          <w:sz w:val="21"/>
          <w:szCs w:val="21"/>
        </w:rPr>
        <w:t>D．②④</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11</w:t>
      </w:r>
      <w:r>
        <w:rPr>
          <w:rFonts w:hint="eastAsia" w:ascii="宋体" w:hAnsi="宋体" w:eastAsia="宋体" w:cs="宋体"/>
          <w:color w:val="auto"/>
          <w:sz w:val="21"/>
          <w:szCs w:val="21"/>
        </w:rPr>
        <w:t>．2018～2023年，政协委员、政协各参加单位和各专门委员会，紧扣“国之大者”、民之关切提出提案，建真言、出实招、聚共识。五年来，十三届政协共收到提案29323件，经审查立案23818件。截至2023年2月底，99.8%的提案已经办复，提案中的许多意见建议已体现到相关规划政策和举措中。可见（</w:t>
      </w:r>
      <w:r>
        <w:rPr>
          <w:rFonts w:hint="eastAsia" w:ascii="宋体" w:hAnsi="宋体" w:eastAsia="宋体" w:cs="宋体"/>
          <w:color w:val="auto"/>
          <w:kern w:val="0"/>
          <w:sz w:val="21"/>
          <w:szCs w:val="21"/>
        </w:rPr>
        <w:t>   </w:t>
      </w:r>
      <w:r>
        <w:rPr>
          <w:rFonts w:hint="eastAsia" w:ascii="宋体" w:hAnsi="宋体" w:eastAsia="宋体" w:cs="宋体"/>
          <w:color w:val="auto"/>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①人民是国家的主人，我国民主是全方位全链条全覆盖的全民民主</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②中国特色社会主义政党制度为保障人民民主奠定了根本制度基础</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③人民政协发挥专门协商机构的作用，广泛凝聚共识破解民生难题</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④政协委员抓住民生领域的实际问题建言资政，履职尽责彰显担当</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00" w:lineRule="auto"/>
        <w:ind w:left="38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A．①②</w:t>
      </w:r>
      <w:r>
        <w:rPr>
          <w:rFonts w:hint="eastAsia" w:ascii="宋体" w:hAnsi="宋体" w:eastAsia="宋体" w:cs="宋体"/>
          <w:color w:val="auto"/>
          <w:sz w:val="21"/>
          <w:szCs w:val="21"/>
        </w:rPr>
        <w:tab/>
      </w:r>
      <w:r>
        <w:rPr>
          <w:rFonts w:hint="eastAsia" w:ascii="宋体" w:hAnsi="宋体" w:eastAsia="宋体" w:cs="宋体"/>
          <w:color w:val="auto"/>
          <w:sz w:val="21"/>
          <w:szCs w:val="21"/>
        </w:rPr>
        <w:t>B．①③</w:t>
      </w:r>
      <w:r>
        <w:rPr>
          <w:rFonts w:hint="eastAsia" w:ascii="宋体" w:hAnsi="宋体" w:eastAsia="宋体" w:cs="宋体"/>
          <w:color w:val="auto"/>
          <w:sz w:val="21"/>
          <w:szCs w:val="21"/>
        </w:rPr>
        <w:tab/>
      </w:r>
      <w:r>
        <w:rPr>
          <w:rFonts w:hint="eastAsia" w:ascii="宋体" w:hAnsi="宋体" w:eastAsia="宋体" w:cs="宋体"/>
          <w:color w:val="auto"/>
          <w:sz w:val="21"/>
          <w:szCs w:val="21"/>
        </w:rPr>
        <w:t>C．②④</w:t>
      </w:r>
      <w:r>
        <w:rPr>
          <w:rFonts w:hint="eastAsia" w:ascii="宋体" w:hAnsi="宋体" w:eastAsia="宋体" w:cs="宋体"/>
          <w:color w:val="auto"/>
          <w:sz w:val="21"/>
          <w:szCs w:val="21"/>
        </w:rPr>
        <w:tab/>
      </w:r>
      <w:r>
        <w:rPr>
          <w:rFonts w:hint="eastAsia" w:ascii="宋体" w:hAnsi="宋体" w:eastAsia="宋体" w:cs="宋体"/>
          <w:color w:val="auto"/>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全国首档市民与公共领域对话的社会民生类栏目《向前一步》开播五年来，深耕首都城市治理与民生内容领域，俯下身，沉下心，察民情，办实事，2018年、2022年两次获得中国新闻奖一等奖，连续五年被写入《北京市人民政府工作报告》。五年来，《向前一步》始终保持与人民群众的紧密联系，有速度、有温度、有态度地搭建起基层治理现代化的民心桥梁，推进着“共治、共建、共享”新发展格局的建设。《向前一步》栏目(</w:t>
      </w:r>
      <w:r>
        <w:rPr>
          <w:rFonts w:hint="eastAsia" w:ascii="宋体" w:hAnsi="宋体" w:eastAsia="宋体" w:cs="宋体"/>
          <w:color w:val="auto"/>
          <w:kern w:val="0"/>
          <w:sz w:val="21"/>
          <w:szCs w:val="21"/>
        </w:rPr>
        <w:t>   </w:t>
      </w:r>
      <w:r>
        <w:rPr>
          <w:rFonts w:hint="eastAsia" w:ascii="宋体" w:hAnsi="宋体" w:eastAsia="宋体" w:cs="宋体"/>
          <w:color w:val="auto"/>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①拓宽基层治理渠道，让人民群众对城市运行更有获得感</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②协调多元主体参与，保证社会管理职能的共同有效行使</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③完善基层治理平台，提升社区精细化管理服务水平</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④丰富基本民主制度，有利于个体参与公共领域治理</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00" w:lineRule="auto"/>
        <w:ind w:left="38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A．①②</w:t>
      </w:r>
      <w:r>
        <w:rPr>
          <w:rFonts w:hint="eastAsia" w:ascii="宋体" w:hAnsi="宋体" w:eastAsia="宋体" w:cs="宋体"/>
          <w:color w:val="auto"/>
          <w:sz w:val="21"/>
          <w:szCs w:val="21"/>
        </w:rPr>
        <w:tab/>
      </w:r>
      <w:r>
        <w:rPr>
          <w:rFonts w:hint="eastAsia" w:ascii="宋体" w:hAnsi="宋体" w:eastAsia="宋体" w:cs="宋体"/>
          <w:color w:val="auto"/>
          <w:sz w:val="21"/>
          <w:szCs w:val="21"/>
        </w:rPr>
        <w:t>B．①③</w:t>
      </w:r>
      <w:r>
        <w:rPr>
          <w:rFonts w:hint="eastAsia" w:ascii="宋体" w:hAnsi="宋体" w:eastAsia="宋体" w:cs="宋体"/>
          <w:color w:val="auto"/>
          <w:sz w:val="21"/>
          <w:szCs w:val="21"/>
        </w:rPr>
        <w:tab/>
      </w:r>
      <w:r>
        <w:rPr>
          <w:rFonts w:hint="eastAsia" w:ascii="宋体" w:hAnsi="宋体" w:eastAsia="宋体" w:cs="宋体"/>
          <w:color w:val="auto"/>
          <w:sz w:val="21"/>
          <w:szCs w:val="21"/>
        </w:rPr>
        <w:t>C．②④</w:t>
      </w:r>
      <w:r>
        <w:rPr>
          <w:rFonts w:hint="eastAsia" w:ascii="宋体" w:hAnsi="宋体" w:eastAsia="宋体" w:cs="宋体"/>
          <w:color w:val="auto"/>
          <w:sz w:val="21"/>
          <w:szCs w:val="21"/>
        </w:rPr>
        <w:tab/>
      </w:r>
      <w:r>
        <w:rPr>
          <w:rFonts w:hint="eastAsia" w:ascii="宋体" w:hAnsi="宋体" w:eastAsia="宋体" w:cs="宋体"/>
          <w:color w:val="auto"/>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13</w:t>
      </w:r>
      <w:r>
        <w:rPr>
          <w:rFonts w:hint="eastAsia" w:ascii="宋体" w:hAnsi="宋体" w:eastAsia="宋体" w:cs="宋体"/>
          <w:color w:val="auto"/>
          <w:sz w:val="21"/>
          <w:szCs w:val="21"/>
        </w:rPr>
        <w:t>．近年来，我国民族人口分布格局呈现出大流动、大融居的新特点。顺应这一形势，中央统战部、国家民委等七部门联合印发《关于实施各族群众互嵌式发展计划的意见》，推动边疆民族地区的群众到东中部地区来就业创业，推动东中部地区的企业和群众到边疆民族地区兴业发展。互嵌式发展有利于（</w:t>
      </w:r>
      <w:r>
        <w:rPr>
          <w:rFonts w:hint="eastAsia" w:ascii="宋体" w:hAnsi="宋体" w:eastAsia="宋体" w:cs="宋体"/>
          <w:color w:val="auto"/>
          <w:kern w:val="0"/>
          <w:sz w:val="21"/>
          <w:szCs w:val="21"/>
        </w:rPr>
        <w:t>   </w:t>
      </w:r>
      <w:r>
        <w:rPr>
          <w:rFonts w:hint="eastAsia" w:ascii="宋体" w:hAnsi="宋体" w:eastAsia="宋体" w:cs="宋体"/>
          <w:color w:val="auto"/>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①巩固新型民族关系，推动实现各民族共同繁荣</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②搭建创业创新平台，促进东西城乡一体化发展</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③促进民族交流交融，推进中华民族共同体建设</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④拓展民族发展空间，奠定民族区域自治的基础</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00" w:lineRule="auto"/>
        <w:ind w:left="38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A．①②</w:t>
      </w:r>
      <w:r>
        <w:rPr>
          <w:rFonts w:hint="eastAsia" w:ascii="宋体" w:hAnsi="宋体" w:eastAsia="宋体" w:cs="宋体"/>
          <w:color w:val="auto"/>
          <w:sz w:val="21"/>
          <w:szCs w:val="21"/>
        </w:rPr>
        <w:tab/>
      </w:r>
      <w:r>
        <w:rPr>
          <w:rFonts w:hint="eastAsia" w:ascii="宋体" w:hAnsi="宋体" w:eastAsia="宋体" w:cs="宋体"/>
          <w:color w:val="auto"/>
          <w:sz w:val="21"/>
          <w:szCs w:val="21"/>
        </w:rPr>
        <w:t>B．①③</w:t>
      </w:r>
      <w:r>
        <w:rPr>
          <w:rFonts w:hint="eastAsia" w:ascii="宋体" w:hAnsi="宋体" w:eastAsia="宋体" w:cs="宋体"/>
          <w:color w:val="auto"/>
          <w:sz w:val="21"/>
          <w:szCs w:val="21"/>
        </w:rPr>
        <w:tab/>
      </w:r>
      <w:r>
        <w:rPr>
          <w:rFonts w:hint="eastAsia" w:ascii="宋体" w:hAnsi="宋体" w:eastAsia="宋体" w:cs="宋体"/>
          <w:color w:val="auto"/>
          <w:sz w:val="21"/>
          <w:szCs w:val="21"/>
        </w:rPr>
        <w:t>C．②④</w:t>
      </w:r>
      <w:r>
        <w:rPr>
          <w:rFonts w:hint="eastAsia" w:ascii="宋体" w:hAnsi="宋体" w:eastAsia="宋体" w:cs="宋体"/>
          <w:color w:val="auto"/>
          <w:sz w:val="21"/>
          <w:szCs w:val="21"/>
        </w:rPr>
        <w:tab/>
      </w:r>
      <w:r>
        <w:rPr>
          <w:rFonts w:hint="eastAsia" w:ascii="宋体" w:hAnsi="宋体" w:eastAsia="宋体" w:cs="宋体"/>
          <w:color w:val="auto"/>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．第十三届全国人大常委会第三十七次会议审议通过新修订的《中华人民共和国妇女权益保障法》，该法自2023年1月1日起施行。修订内容（部分）如下对修订内容（部分）解读正确的是（</w:t>
      </w:r>
      <w:r>
        <w:rPr>
          <w:rFonts w:hint="eastAsia" w:ascii="宋体" w:hAnsi="宋体" w:eastAsia="宋体" w:cs="宋体"/>
          <w:color w:val="auto"/>
          <w:kern w:val="0"/>
          <w:sz w:val="21"/>
          <w:szCs w:val="21"/>
        </w:rPr>
        <w:t>    </w:t>
      </w:r>
      <w:r>
        <w:rPr>
          <w:rFonts w:hint="eastAsia" w:ascii="宋体" w:hAnsi="宋体" w:eastAsia="宋体" w:cs="宋体"/>
          <w:color w:val="auto"/>
          <w:sz w:val="21"/>
          <w:szCs w:val="21"/>
        </w:rPr>
        <w: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用人单位在招录（聘）过程中，除国家另有规定外，不得实施下列行为：</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用人单位在招录（聘）过程中，限定为男性或者规定男性优先。</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用人单位因结婚、不孕、产假等情形，降低女职工工资和福利待遇，限制女职工晋职、晋级、评聘专业技术职称和职务。</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用人单位违反上述规定，由人社部责令改正，拒不改正或者情节严重的，面临1万元以上5万元以下罚款。</w:t>
            </w:r>
          </w:p>
        </w:tc>
      </w:tr>
    </w:tbl>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①全国人大常委会享有审议修订部分法律的职权</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②提高弱势群体的法律地位是法治社会应有之义</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③相关修订旨在让法律的阳光更加彰显正义公平</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④依法组织实施劳动保障监察是人社部门的职责</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00" w:lineRule="auto"/>
        <w:ind w:left="38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A．①②</w:t>
      </w:r>
      <w:r>
        <w:rPr>
          <w:rFonts w:hint="eastAsia" w:ascii="宋体" w:hAnsi="宋体" w:eastAsia="宋体" w:cs="宋体"/>
          <w:color w:val="auto"/>
          <w:sz w:val="21"/>
          <w:szCs w:val="21"/>
        </w:rPr>
        <w:tab/>
      </w:r>
      <w:r>
        <w:rPr>
          <w:rFonts w:hint="eastAsia" w:ascii="宋体" w:hAnsi="宋体" w:eastAsia="宋体" w:cs="宋体"/>
          <w:color w:val="auto"/>
          <w:sz w:val="21"/>
          <w:szCs w:val="21"/>
        </w:rPr>
        <w:t>B．①③</w:t>
      </w:r>
      <w:r>
        <w:rPr>
          <w:rFonts w:hint="eastAsia" w:ascii="宋体" w:hAnsi="宋体" w:eastAsia="宋体" w:cs="宋体"/>
          <w:color w:val="auto"/>
          <w:sz w:val="21"/>
          <w:szCs w:val="21"/>
        </w:rPr>
        <w:tab/>
      </w:r>
      <w:r>
        <w:rPr>
          <w:rFonts w:hint="eastAsia" w:ascii="宋体" w:hAnsi="宋体" w:eastAsia="宋体" w:cs="宋体"/>
          <w:color w:val="auto"/>
          <w:sz w:val="21"/>
          <w:szCs w:val="21"/>
        </w:rPr>
        <w:t>C．②④</w:t>
      </w:r>
      <w:r>
        <w:rPr>
          <w:rFonts w:hint="eastAsia" w:ascii="宋体" w:hAnsi="宋体" w:eastAsia="宋体" w:cs="宋体"/>
          <w:color w:val="auto"/>
          <w:sz w:val="21"/>
          <w:szCs w:val="21"/>
        </w:rPr>
        <w:tab/>
      </w:r>
      <w:r>
        <w:rPr>
          <w:rFonts w:hint="eastAsia" w:ascii="宋体" w:hAnsi="宋体" w:eastAsia="宋体" w:cs="宋体"/>
          <w:color w:val="auto"/>
          <w:sz w:val="21"/>
          <w:szCs w:val="21"/>
        </w:rPr>
        <w:t>D．③④</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近日，国家医保局、最高人民检察院、公安部、财政部、国家卫生健康委印发《2023年医保领域打击欺诈骗保专项整治工作方案》（以下简称《方案》），在全国范围开展医保领域打击欺诈骗保专项整治工作。《方案》根据医保基金监管实际需要，强调部门协同在医保基金监管方面的作用，明确和细化各部门的职责。该《方案》的出台（</w:t>
      </w:r>
      <w:r>
        <w:rPr>
          <w:rFonts w:hint="eastAsia" w:ascii="宋体" w:hAnsi="宋体" w:eastAsia="宋体" w:cs="宋体"/>
          <w:color w:val="auto"/>
          <w:kern w:val="0"/>
          <w:sz w:val="21"/>
          <w:szCs w:val="21"/>
        </w:rPr>
        <w:t>   </w:t>
      </w:r>
      <w:r>
        <w:rPr>
          <w:rFonts w:hint="eastAsia" w:ascii="宋体" w:hAnsi="宋体" w:eastAsia="宋体" w:cs="宋体"/>
          <w:color w:val="auto"/>
          <w:sz w:val="21"/>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①为推进医保基金监管工作提供了明确的法律依据</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②有助于形成基金监管协同执法、联防联动工作机制</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③发挥国家专政职能，威慑医保领域各类违法违规行为</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④有助于形成监管合力，牢牢守住医保基金安全底线</w:t>
      </w:r>
    </w:p>
    <w:p>
      <w:pPr>
        <w:keepNext w:val="0"/>
        <w:keepLines w:val="0"/>
        <w:pageBreakBefore w:val="0"/>
        <w:widowControl w:val="0"/>
        <w:shd w:val="clear" w:color="auto" w:fill="FFFFFF"/>
        <w:tabs>
          <w:tab w:val="left" w:pos="2078"/>
          <w:tab w:val="left" w:pos="4156"/>
          <w:tab w:val="left" w:pos="6234"/>
        </w:tabs>
        <w:kinsoku/>
        <w:wordWrap/>
        <w:overflowPunct/>
        <w:topLinePunct w:val="0"/>
        <w:autoSpaceDE/>
        <w:autoSpaceDN/>
        <w:bidi w:val="0"/>
        <w:adjustRightInd/>
        <w:snapToGrid/>
        <w:spacing w:line="300" w:lineRule="auto"/>
        <w:ind w:left="38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A．①②</w:t>
      </w:r>
      <w:r>
        <w:rPr>
          <w:rFonts w:hint="eastAsia" w:ascii="宋体" w:hAnsi="宋体" w:eastAsia="宋体" w:cs="宋体"/>
          <w:color w:val="auto"/>
          <w:sz w:val="21"/>
          <w:szCs w:val="21"/>
        </w:rPr>
        <w:tab/>
      </w:r>
      <w:r>
        <w:rPr>
          <w:rFonts w:hint="eastAsia" w:ascii="宋体" w:hAnsi="宋体" w:eastAsia="宋体" w:cs="宋体"/>
          <w:color w:val="auto"/>
          <w:sz w:val="21"/>
          <w:szCs w:val="21"/>
        </w:rPr>
        <w:t>B．①③</w:t>
      </w:r>
      <w:r>
        <w:rPr>
          <w:rFonts w:hint="eastAsia" w:ascii="宋体" w:hAnsi="宋体" w:eastAsia="宋体" w:cs="宋体"/>
          <w:color w:val="auto"/>
          <w:sz w:val="21"/>
          <w:szCs w:val="21"/>
        </w:rPr>
        <w:tab/>
      </w:r>
      <w:r>
        <w:rPr>
          <w:rFonts w:hint="eastAsia" w:ascii="宋体" w:hAnsi="宋体" w:eastAsia="宋体" w:cs="宋体"/>
          <w:color w:val="auto"/>
          <w:sz w:val="21"/>
          <w:szCs w:val="21"/>
        </w:rPr>
        <w:t>C．②④</w:t>
      </w:r>
      <w:r>
        <w:rPr>
          <w:rFonts w:hint="eastAsia" w:ascii="宋体" w:hAnsi="宋体" w:eastAsia="宋体" w:cs="宋体"/>
          <w:color w:val="auto"/>
          <w:sz w:val="21"/>
          <w:szCs w:val="21"/>
        </w:rPr>
        <w:tab/>
      </w:r>
      <w:r>
        <w:rPr>
          <w:rFonts w:hint="eastAsia" w:ascii="宋体" w:hAnsi="宋体" w:eastAsia="宋体" w:cs="宋体"/>
          <w:color w:val="auto"/>
          <w:sz w:val="21"/>
          <w:szCs w:val="21"/>
        </w:rPr>
        <w:t>D．③④</w:t>
      </w:r>
    </w:p>
    <w:p>
      <w:pPr>
        <w:numPr>
          <w:ilvl w:val="0"/>
          <w:numId w:val="0"/>
        </w:numPr>
        <w:rPr>
          <w:rFonts w:hint="eastAsia" w:ascii="宋体" w:hAnsi="宋体" w:eastAsia="宋体" w:cs="宋体"/>
          <w:color w:val="auto"/>
          <w:sz w:val="21"/>
          <w:szCs w:val="21"/>
          <w:lang w:val="en-US" w:eastAsia="zh-CN"/>
        </w:rPr>
      </w:pPr>
    </w:p>
    <w:p>
      <w:pPr>
        <w:numPr>
          <w:ilvl w:val="0"/>
          <w:numId w:val="0"/>
        </w:numPr>
        <w:rPr>
          <w:rFonts w:hint="eastAsia" w:ascii="宋体" w:hAnsi="宋体" w:eastAsia="宋体" w:cs="宋体"/>
          <w:color w:val="auto"/>
          <w:sz w:val="21"/>
          <w:szCs w:val="21"/>
          <w:lang w:val="en-US" w:eastAsia="zh-CN"/>
        </w:rPr>
      </w:pPr>
    </w:p>
    <w:p>
      <w:pPr>
        <w:numPr>
          <w:ilvl w:val="0"/>
          <w:numId w:val="0"/>
        </w:numPr>
        <w:rPr>
          <w:rFonts w:hint="eastAsia" w:ascii="宋体" w:hAnsi="宋体" w:eastAsia="宋体" w:cs="宋体"/>
          <w:color w:val="auto"/>
          <w:sz w:val="21"/>
          <w:szCs w:val="21"/>
          <w:lang w:val="en-US" w:eastAsia="zh-CN"/>
        </w:rPr>
      </w:pPr>
    </w:p>
    <w:p>
      <w:pPr>
        <w:numPr>
          <w:ilvl w:val="0"/>
          <w:numId w:val="0"/>
        </w:numPr>
        <w:rPr>
          <w:rFonts w:hint="eastAsia" w:ascii="宋体" w:hAnsi="宋体" w:eastAsia="宋体" w:cs="宋体"/>
          <w:b/>
          <w:bCs/>
          <w:color w:val="auto"/>
          <w:sz w:val="21"/>
          <w:szCs w:val="21"/>
          <w:lang w:val="en-US" w:eastAsia="zh-CN"/>
        </w:rPr>
      </w:pPr>
    </w:p>
    <w:p>
      <w:pPr>
        <w:numPr>
          <w:ilvl w:val="0"/>
          <w:numId w:val="0"/>
        </w:numP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二、简答题：请紧扣题意，结合所学相关知识，在答题卡上简要回答问题。(本部分3大题,6小问,共55分)</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rPr>
        <w:t>．中国式现代化道路是在中国共产党领导下，历经几十年奋斗形成的。</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623"/>
        <w:gridCol w:w="2415"/>
        <w:gridCol w:w="2379"/>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新中国成立前，中国的现代化可分成两个阶段，第一阶段是从鸦片战争至辛亥革命，中国人致力于物质层面的现代化。第二阶段从辛亥革命一直到新中国成立，中国致力于按西方模式建立现代国家，但没有找到正确的道路。</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新中国成立后,我国确立社会主义基本制度，标志着中国的现代化进入了一个新的发展时期。自此以后，中国共产党成为领导中国现代化建设的核心，社会主义制度成为中国现代化发展的制度保障。</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此后，经过了“四个现代化”、十一届三中全会决定把党的工作重点转移到社会主义现代化建设上来、十五届五中全会提出全面建设小康社会新目标等的不断探索，中国式现代化道路逐渐清晰。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党的十九大以来，中国决胜全面建成小康社会，下一个目标便是全面建成社会主义现代化强国。习近平指出，“我们坚持和发展中国特色社会主义，创造了中国式现代化新道路，创造了人类文明新形态”。</w:t>
            </w:r>
          </w:p>
        </w:tc>
      </w:tr>
    </w:tbl>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结合材料，运用中国特色社会主义的相关知识，阐释中国式现代化的历史逻辑。</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8分</w:t>
      </w:r>
      <w:r>
        <w:rPr>
          <w:rFonts w:hint="eastAsia" w:ascii="宋体" w:hAnsi="宋体" w:eastAsia="宋体" w:cs="宋体"/>
          <w:color w:val="auto"/>
          <w:sz w:val="21"/>
          <w:szCs w:val="21"/>
          <w:lang w:eastAsia="zh-CN"/>
        </w:rPr>
        <w:t>）</w:t>
      </w:r>
    </w:p>
    <w:p>
      <w:pPr>
        <w:numPr>
          <w:ilvl w:val="0"/>
          <w:numId w:val="0"/>
        </w:numPr>
        <w:rPr>
          <w:rFonts w:hint="default" w:ascii="宋体" w:hAnsi="宋体" w:eastAsia="宋体" w:cs="宋体"/>
          <w:color w:val="auto"/>
          <w:sz w:val="21"/>
          <w:szCs w:val="21"/>
          <w:lang w:val="en-US" w:eastAsia="zh-CN"/>
        </w:rPr>
      </w:pPr>
    </w:p>
    <w:p>
      <w:pPr>
        <w:numPr>
          <w:ilvl w:val="0"/>
          <w:numId w:val="0"/>
        </w:numPr>
        <w:rPr>
          <w:rFonts w:hint="default" w:ascii="宋体" w:hAnsi="宋体" w:eastAsia="宋体" w:cs="宋体"/>
          <w:color w:val="auto"/>
          <w:sz w:val="21"/>
          <w:szCs w:val="21"/>
          <w:lang w:val="en-US" w:eastAsia="zh-CN"/>
        </w:rPr>
      </w:pPr>
    </w:p>
    <w:p>
      <w:pPr>
        <w:numPr>
          <w:ilvl w:val="0"/>
          <w:numId w:val="0"/>
        </w:numPr>
        <w:rPr>
          <w:rFonts w:hint="default" w:ascii="宋体" w:hAnsi="宋体" w:eastAsia="宋体" w:cs="宋体"/>
          <w:color w:val="auto"/>
          <w:sz w:val="21"/>
          <w:szCs w:val="21"/>
          <w:lang w:val="en-US" w:eastAsia="zh-CN"/>
        </w:rPr>
      </w:pPr>
    </w:p>
    <w:p>
      <w:pPr>
        <w:numPr>
          <w:ilvl w:val="0"/>
          <w:numId w:val="0"/>
        </w:numPr>
        <w:rPr>
          <w:rFonts w:hint="default" w:ascii="宋体" w:hAnsi="宋体" w:eastAsia="宋体" w:cs="宋体"/>
          <w:color w:val="auto"/>
          <w:sz w:val="21"/>
          <w:szCs w:val="21"/>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rPr>
        <w:t>阅读材料，完成下列要求。</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材料一</w:t>
      </w:r>
      <w:r>
        <w:rPr>
          <w:rFonts w:hint="eastAsia" w:ascii="宋体" w:hAnsi="宋体" w:eastAsia="宋体" w:cs="宋体"/>
          <w:color w:val="auto"/>
          <w:kern w:val="0"/>
          <w:sz w:val="21"/>
          <w:szCs w:val="21"/>
        </w:rPr>
        <w:t>  </w:t>
      </w:r>
      <w:r>
        <w:rPr>
          <w:rFonts w:hint="eastAsia" w:ascii="宋体" w:hAnsi="宋体" w:eastAsia="宋体" w:cs="宋体"/>
          <w:color w:val="auto"/>
          <w:sz w:val="21"/>
          <w:szCs w:val="21"/>
        </w:rPr>
        <w:t>随着我国网络餐饮市场规模不断扩大，外卖用户规模快速增长。据统计，截至2022年底，国内外卖用户已达5.2亿。外卖已走进千家万户。网络餐饮平台一头链接千千万万的商家，一头链接亿万消费者，成为制止餐饮浪费的重要环节。外卖平台一个小小的机制可以发挥巨大的引导作用。比如，某外卖平台，2017年上线让消费者自主选择“需要餐具”或“无需餐具”的功能，</w:t>
      </w:r>
      <w:r>
        <w:rPr>
          <w:rFonts w:hint="eastAsia" w:ascii="宋体" w:hAnsi="宋体" w:eastAsia="宋体" w:cs="宋体"/>
          <w:color w:val="auto"/>
          <w:sz w:val="21"/>
          <w:szCs w:val="21"/>
          <w:lang w:val="en-US" w:eastAsia="zh-CN"/>
        </w:rPr>
        <w:t>截至</w:t>
      </w:r>
      <w:r>
        <w:rPr>
          <w:rFonts w:hint="eastAsia" w:ascii="宋体" w:hAnsi="宋体" w:eastAsia="宋体" w:cs="宋体"/>
          <w:color w:val="auto"/>
          <w:sz w:val="21"/>
          <w:szCs w:val="21"/>
        </w:rPr>
        <w:t>今年4月，已有超过3.27亿用户使用过“无需餐具”功能，累计减碳超过15万吨，为“双碳”目标的实现贡献力量。但如果引导不当，负面效果也会通过平台成千上万倍地放大。市场监管部门在调研外卖食品浪费问题时发现，很多消费者在点餐时会多选几份米饭、馒头等单价比较低的商品，以参加“满减凑单”活动，或者凑单达到送餐门槛减免配送费。事实上，消费者一顿吃不了这么多的主食，很容易造成食品浪费。因此，对外卖平台需加强监督引导，让其更好地发挥正面引导作用。</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材料二</w:t>
      </w:r>
      <w:r>
        <w:rPr>
          <w:rFonts w:hint="eastAsia" w:ascii="宋体" w:hAnsi="宋体" w:eastAsia="宋体" w:cs="宋体"/>
          <w:color w:val="auto"/>
          <w:kern w:val="0"/>
          <w:sz w:val="21"/>
          <w:szCs w:val="21"/>
        </w:rPr>
        <w:t>  </w:t>
      </w:r>
      <w:r>
        <w:rPr>
          <w:rFonts w:hint="eastAsia" w:ascii="宋体" w:hAnsi="宋体" w:eastAsia="宋体" w:cs="宋体"/>
          <w:color w:val="auto"/>
          <w:sz w:val="21"/>
          <w:szCs w:val="21"/>
        </w:rPr>
        <w:t>市场监管总局、商务部近日联合印发《关于发挥网络餐饮平台引领带动作用有效防范外卖食品浪费的指导意见》,旨在充分发挥平台企业引领带动作用，防范外卖食品浪费，促进网络餐饮行业规范健康发展。</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材料三  餐饮行业中，有不少是中华老字号。</w:t>
      </w:r>
      <w:r>
        <w:rPr>
          <w:rFonts w:hint="eastAsia" w:ascii="宋体" w:hAnsi="宋体" w:eastAsia="宋体" w:cs="宋体"/>
          <w:color w:val="auto"/>
          <w:sz w:val="21"/>
          <w:szCs w:val="21"/>
        </w:rPr>
        <w:t>据统计，中华老字号企业有1100多家，其中现存的超过150年历史的老店屈指可数。在这些企业中，有的蓬勃发展，有的勉强维持现状。全国两会上有政协委员建议，有关部门要进一步加大对老字号遗产的保护力度，依法严格执行对老字号权利的保护，制定和出台保护老字号、传承发展老字号的专门法规和措施，严厉打击侵犯老字号的侵权违法行为，加强行政执法的协调与衔接，汇聚合力从源头上发挥好防线保护职能作用，切实解决老字号企业生存和发展面临的困难。</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有观点认为：防范外卖食品浪费要靠政府监管。</w:t>
      </w:r>
      <w:r>
        <w:rPr>
          <w:rFonts w:hint="eastAsia" w:ascii="宋体" w:hAnsi="宋体" w:eastAsia="宋体" w:cs="宋体"/>
          <w:color w:val="auto"/>
          <w:sz w:val="21"/>
          <w:szCs w:val="21"/>
          <w:lang w:val="en-US" w:eastAsia="zh-CN"/>
        </w:rPr>
        <w:t>结合材料一、材料二，</w:t>
      </w:r>
      <w:r>
        <w:rPr>
          <w:rFonts w:hint="eastAsia" w:ascii="宋体" w:hAnsi="宋体" w:eastAsia="宋体" w:cs="宋体"/>
          <w:color w:val="auto"/>
          <w:sz w:val="21"/>
          <w:szCs w:val="21"/>
        </w:rPr>
        <w:t>运用经济与社会的知识，对该观点进行评析。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12分</w:t>
      </w:r>
      <w:r>
        <w:rPr>
          <w:rFonts w:hint="eastAsia" w:ascii="宋体" w:hAnsi="宋体" w:eastAsia="宋体" w:cs="宋体"/>
          <w:color w:val="auto"/>
          <w:sz w:val="21"/>
          <w:szCs w:val="21"/>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结合材料</w:t>
      </w:r>
      <w:r>
        <w:rPr>
          <w:rFonts w:hint="eastAsia" w:ascii="宋体" w:hAnsi="宋体" w:eastAsia="宋体" w:cs="宋体"/>
          <w:color w:val="auto"/>
          <w:sz w:val="21"/>
          <w:szCs w:val="21"/>
          <w:lang w:val="en-US" w:eastAsia="zh-CN"/>
        </w:rPr>
        <w:t>三</w:t>
      </w:r>
      <w:r>
        <w:rPr>
          <w:rFonts w:hint="eastAsia" w:ascii="宋体" w:hAnsi="宋体" w:eastAsia="宋体" w:cs="宋体"/>
          <w:color w:val="auto"/>
          <w:sz w:val="21"/>
          <w:szCs w:val="21"/>
        </w:rPr>
        <w:t>，运用“全面依法治国”相关知识，说明如何以法治方式助力老字号历久弥新。</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12分</w:t>
      </w:r>
      <w:r>
        <w:rPr>
          <w:rFonts w:hint="eastAsia" w:ascii="宋体" w:hAnsi="宋体" w:eastAsia="宋体" w:cs="宋体"/>
          <w:color w:val="auto"/>
          <w:sz w:val="21"/>
          <w:szCs w:val="21"/>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18</w:t>
      </w:r>
      <w:r>
        <w:rPr>
          <w:rFonts w:hint="eastAsia" w:ascii="宋体" w:hAnsi="宋体" w:eastAsia="宋体" w:cs="宋体"/>
          <w:color w:val="auto"/>
          <w:sz w:val="21"/>
          <w:szCs w:val="21"/>
        </w:rPr>
        <w:t>．阅读材料，完成下列要求。</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2023年7月5日至7日，习近平主席在江苏考察时强调，在率先实现社会主义现代化上走在前列，奋力推进新江苏现代化建设。</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材料一</w:t>
      </w:r>
      <w:r>
        <w:rPr>
          <w:rFonts w:hint="eastAsia" w:ascii="宋体" w:hAnsi="宋体" w:eastAsia="宋体" w:cs="宋体"/>
          <w:color w:val="auto"/>
          <w:kern w:val="0"/>
          <w:sz w:val="21"/>
          <w:szCs w:val="21"/>
        </w:rPr>
        <w:t> </w:t>
      </w:r>
      <w:r>
        <w:rPr>
          <w:rFonts w:hint="eastAsia" w:ascii="宋体" w:hAnsi="宋体" w:eastAsia="宋体" w:cs="宋体"/>
          <w:color w:val="auto"/>
          <w:sz w:val="21"/>
          <w:szCs w:val="21"/>
        </w:rPr>
        <w:t>江苏省在科技创新上率先取得新突破，打造全国产业科技创新高地，使高质量发展更多依靠创新驱动的内涵型增长，加强以企业为主导的产学研深度融合，多元化加大科技投入，提高科技成果转化和产业化水平，充分激发各类人才创新活力；江苏省致力于打造先进制造业集群，实现传输速率、系统效率大幅提升，不断以新技术培育新产业、引领产业升级，统筹产业结构调整；江苏省创造更高质量的生态环境，践行“绿水青山就是金山银山”的理念，加强污染治理、生态保护，深入打好蓝天、碧水、净土保卫战，推动生态环境质量持续改善。</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材料二</w:t>
      </w:r>
      <w:r>
        <w:rPr>
          <w:rFonts w:hint="eastAsia" w:ascii="宋体" w:hAnsi="宋体" w:eastAsia="宋体" w:cs="宋体"/>
          <w:color w:val="auto"/>
          <w:kern w:val="0"/>
          <w:sz w:val="21"/>
          <w:szCs w:val="21"/>
        </w:rPr>
        <w:t> </w:t>
      </w:r>
      <w:r>
        <w:rPr>
          <w:rFonts w:hint="eastAsia" w:ascii="宋体" w:hAnsi="宋体" w:eastAsia="宋体" w:cs="宋体"/>
          <w:color w:val="auto"/>
          <w:sz w:val="21"/>
          <w:szCs w:val="21"/>
        </w:rPr>
        <w:t>江苏省认真学习贯彻习近平新时代中国特色社会主义思想的主题教育活动，坚持知信行统一；坚决贯彻落实党中央决策部署，加强统筹、规范有序，锚定高质量发展首要任务，持续推动思想解放，深入一线、深入实际，见行见效、推动落实；激励党员干部能力提升、作风转变和担当作为，增强自我净化、自我完善、自我革新、自我提高能力，始终走在时代前列；树牢造福人民的政绩观，走进群众、问计于民，不搞贪大求洋、盲目蛮干、哗众取宠。当前，江苏各级党组织上下一心、真抓实干、奋发进取，力争为谱写“强富美高”新江苏现代化建设新篇章实现良好开局。</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材料三</w:t>
      </w:r>
      <w:r>
        <w:rPr>
          <w:rFonts w:hint="eastAsia" w:ascii="宋体" w:hAnsi="宋体" w:eastAsia="宋体" w:cs="宋体"/>
          <w:color w:val="auto"/>
          <w:kern w:val="0"/>
          <w:sz w:val="21"/>
          <w:szCs w:val="21"/>
        </w:rPr>
        <w:t> </w:t>
      </w:r>
      <w:r>
        <w:rPr>
          <w:rFonts w:hint="eastAsia" w:ascii="宋体" w:hAnsi="宋体" w:eastAsia="宋体" w:cs="宋体"/>
          <w:color w:val="auto"/>
          <w:sz w:val="21"/>
          <w:szCs w:val="21"/>
        </w:rPr>
        <w:t>习近平在考察江苏南瑞集团有限公司时，勉励年轻研发人员说，大家意气风发、朝气蓬勃，要立志高远、脚踏实地，一步一步往前走，以十年磨一剑的韧劲，以“一辈子办成一件事”的执着，攻关高精尖技术，成就有价值的人生。</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有人认为，推动新江苏现代化建设，必须突破关键核心技术。结合材料一，运用《经济与社会》知识对以上观点进行评析。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9分</w:t>
      </w:r>
      <w:r>
        <w:rPr>
          <w:rFonts w:hint="eastAsia" w:ascii="宋体" w:hAnsi="宋体" w:eastAsia="宋体" w:cs="宋体"/>
          <w:color w:val="auto"/>
          <w:sz w:val="21"/>
          <w:szCs w:val="21"/>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结合材料二，运用《政治与法治》的知识，分析开展学习主题教育活动对推动新江苏现代化建设的作用。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8分</w:t>
      </w:r>
      <w:r>
        <w:rPr>
          <w:rFonts w:hint="eastAsia" w:ascii="宋体" w:hAnsi="宋体" w:eastAsia="宋体" w:cs="宋体"/>
          <w:color w:val="auto"/>
          <w:sz w:val="21"/>
          <w:szCs w:val="21"/>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300" w:lineRule="auto"/>
        <w:ind w:firstLine="420" w:firstLineChars="0"/>
        <w:jc w:val="left"/>
        <w:textAlignment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结合材料三，运用《中国特色社会主义》的有关知识，以“青春、理想、奋斗、追梦”为关键词，就青年如何实现中华民族伟大复兴中国梦，成就有价值的人生，撰写一篇演讲提纲。（要求：围绕主题，观点明确；阐述充分，逻辑清晰；学科术语使用规范，100字左右）</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6分</w:t>
      </w:r>
      <w:r>
        <w:rPr>
          <w:rFonts w:hint="eastAsia" w:ascii="宋体" w:hAnsi="宋体" w:eastAsia="宋体" w:cs="宋体"/>
          <w:color w:val="auto"/>
          <w:sz w:val="21"/>
          <w:szCs w:val="21"/>
          <w:lang w:eastAsia="zh-CN"/>
        </w:rPr>
        <w:t>）</w:t>
      </w:r>
    </w:p>
    <w:p>
      <w:pPr>
        <w:numPr>
          <w:ilvl w:val="0"/>
          <w:numId w:val="0"/>
        </w:numPr>
        <w:rPr>
          <w:rFonts w:hint="eastAsia" w:ascii="楷体" w:hAnsi="楷体" w:eastAsia="楷体" w:cs="楷体"/>
          <w:color w:val="auto"/>
          <w:sz w:val="21"/>
          <w:szCs w:val="21"/>
          <w:lang w:val="en-US" w:eastAsia="zh-CN"/>
        </w:rPr>
      </w:pPr>
    </w:p>
    <w:p>
      <w:pPr>
        <w:numPr>
          <w:ilvl w:val="0"/>
          <w:numId w:val="0"/>
        </w:numPr>
        <w:rPr>
          <w:rFonts w:hint="eastAsia" w:ascii="楷体" w:hAnsi="楷体" w:eastAsia="楷体" w:cs="楷体"/>
          <w:color w:val="auto"/>
          <w:sz w:val="21"/>
          <w:szCs w:val="21"/>
          <w:lang w:val="en-US" w:eastAsia="zh-CN"/>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FB5966"/>
    <w:multiLevelType w:val="singleLevel"/>
    <w:tmpl w:val="1DFB596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YTAyODIzNjVmOGU4ZWE4Y2VmNzI0MzA4MmExYzQifQ=="/>
  </w:docVars>
  <w:rsids>
    <w:rsidRoot w:val="77AD2AF4"/>
    <w:rsid w:val="1E487051"/>
    <w:rsid w:val="3CF33D49"/>
    <w:rsid w:val="3DA32036"/>
    <w:rsid w:val="400B3158"/>
    <w:rsid w:val="51FF1BDE"/>
    <w:rsid w:val="77AD2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2023-09-29T02:01:00Z</dcterms:created>
  <dc:creator>曹淑莹</dc:creator>
  <cp:lastModifiedBy>曹淑莹</cp:lastModifiedBy>
  <dcterms:modified xsi:type="dcterms:W3CDTF">2023-09-30T02:18:25Z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EE88050087934623AE4B2BD0F7F7DE97_13</vt:lpwstr>
  </property>
</Properties>
</file>