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rPr>
          <w:rFonts w:hint="eastAsia" w:ascii="黑体" w:hAnsi="黑体" w:eastAsia="黑体" w:cs="黑体"/>
          <w:b/>
          <w:sz w:val="30"/>
          <w:lang w:val="en-US" w:eastAsia="zh-CN"/>
        </w:rPr>
      </w:pPr>
      <w:r>
        <w:rPr>
          <w:rFonts w:ascii="黑体" w:hAnsi="黑体" w:eastAsia="黑体" w:cs="黑体"/>
          <w:b/>
          <w:sz w:val="30"/>
        </w:rPr>
        <w:t>江苏省</w:t>
      </w:r>
      <w:r>
        <w:rPr>
          <w:rFonts w:hint="eastAsia" w:ascii="黑体" w:hAnsi="黑体" w:eastAsia="黑体" w:cs="黑体"/>
          <w:b/>
          <w:sz w:val="30"/>
          <w:lang w:val="en-US" w:eastAsia="zh-CN"/>
        </w:rPr>
        <w:t>仪征中学</w:t>
      </w:r>
      <w:r>
        <w:rPr>
          <w:rFonts w:ascii="黑体" w:hAnsi="黑体" w:eastAsia="黑体" w:cs="黑体"/>
          <w:b/>
          <w:sz w:val="30"/>
        </w:rPr>
        <w:t>2022-2023学年高三</w:t>
      </w:r>
      <w:r>
        <w:rPr>
          <w:rFonts w:hint="eastAsia" w:ascii="黑体" w:hAnsi="黑体" w:eastAsia="黑体" w:cs="黑体"/>
          <w:b/>
          <w:sz w:val="30"/>
          <w:lang w:val="en-US" w:eastAsia="zh-CN"/>
        </w:rPr>
        <w:t>12月综合练习二</w:t>
      </w:r>
    </w:p>
    <w:p>
      <w:pPr>
        <w:shd w:val="clear" w:color="auto" w:fill="auto"/>
        <w:jc w:val="center"/>
        <w:rPr>
          <w:rFonts w:hint="eastAsia" w:ascii="楷体" w:hAnsi="楷体" w:eastAsia="楷体" w:cs="楷体"/>
          <w:b w:val="0"/>
          <w:sz w:val="21"/>
          <w:lang w:val="en-US" w:eastAsia="zh-CN"/>
        </w:rPr>
      </w:pPr>
      <w:r>
        <w:rPr>
          <w:rFonts w:hint="eastAsia" w:ascii="楷体" w:hAnsi="楷体" w:eastAsia="楷体" w:cs="楷体"/>
          <w:b w:val="0"/>
          <w:sz w:val="21"/>
          <w:lang w:val="en-US" w:eastAsia="zh-CN"/>
        </w:rPr>
        <w:t>研制人：马楠   审核人：曹淑莹</w:t>
      </w:r>
    </w:p>
    <w:p>
      <w:pPr>
        <w:shd w:val="clear" w:color="auto" w:fill="auto"/>
        <w:jc w:val="left"/>
        <w:rPr>
          <w:rFonts w:ascii="宋体" w:hAnsi="宋体" w:eastAsia="宋体" w:cs="宋体"/>
          <w:b/>
          <w:sz w:val="21"/>
        </w:rPr>
      </w:pPr>
      <w:r>
        <w:rPr>
          <w:rFonts w:hint="eastAsia" w:ascii="楷体" w:hAnsi="楷体" w:eastAsia="楷体" w:cs="楷体"/>
          <w:b w:val="0"/>
          <w:sz w:val="21"/>
          <w:lang w:val="en-US" w:eastAsia="zh-CN"/>
        </w:rPr>
        <w:t>班级</w:t>
      </w:r>
      <w:r>
        <w:rPr>
          <w:rFonts w:hint="eastAsia" w:ascii="楷体" w:hAnsi="楷体" w:eastAsia="楷体" w:cs="楷体"/>
          <w:b w:val="0"/>
          <w:sz w:val="21"/>
          <w:lang w:eastAsia="zh-CN"/>
        </w:rPr>
        <w:t>：</w:t>
      </w:r>
      <w:r>
        <w:rPr>
          <w:rFonts w:hint="eastAsia" w:ascii="楷体" w:hAnsi="楷体" w:eastAsia="楷体" w:cs="楷体"/>
          <w:b w:val="0"/>
          <w:sz w:val="21"/>
          <w:u w:val="single"/>
        </w:rPr>
        <w:t>__________</w:t>
      </w:r>
      <w:r>
        <w:rPr>
          <w:rFonts w:hint="eastAsia" w:ascii="楷体" w:hAnsi="楷体" w:eastAsia="楷体" w:cs="楷体"/>
          <w:b w:val="0"/>
          <w:sz w:val="21"/>
          <w:u w:val="single"/>
          <w:lang w:val="en-US" w:eastAsia="zh-CN"/>
        </w:rPr>
        <w:t xml:space="preserve"> </w:t>
      </w:r>
      <w:r>
        <w:rPr>
          <w:rFonts w:hint="eastAsia" w:ascii="楷体" w:hAnsi="楷体" w:eastAsia="楷体" w:cs="楷体"/>
          <w:b w:val="0"/>
          <w:sz w:val="21"/>
          <w:lang w:val="en-US" w:eastAsia="zh-CN"/>
        </w:rPr>
        <w:t xml:space="preserve"> </w:t>
      </w:r>
      <w:r>
        <w:rPr>
          <w:rFonts w:hint="eastAsia" w:ascii="楷体" w:hAnsi="楷体" w:eastAsia="楷体" w:cs="楷体"/>
          <w:b w:val="0"/>
          <w:sz w:val="21"/>
        </w:rPr>
        <w:t>姓名：</w:t>
      </w:r>
      <w:r>
        <w:rPr>
          <w:rFonts w:hint="eastAsia" w:ascii="楷体" w:hAnsi="楷体" w:eastAsia="楷体" w:cs="楷体"/>
          <w:b w:val="0"/>
          <w:sz w:val="21"/>
          <w:u w:val="single"/>
        </w:rPr>
        <w:t>_________</w:t>
      </w:r>
      <w:r>
        <w:rPr>
          <w:rFonts w:hint="eastAsia" w:ascii="楷体" w:hAnsi="楷体" w:eastAsia="楷体" w:cs="楷体"/>
          <w:b w:val="0"/>
          <w:sz w:val="21"/>
          <w:u w:val="single"/>
          <w:lang w:val="en-US" w:eastAsia="zh-CN"/>
        </w:rPr>
        <w:t xml:space="preserve"> </w:t>
      </w:r>
      <w:r>
        <w:rPr>
          <w:rFonts w:hint="eastAsia" w:ascii="楷体" w:hAnsi="楷体" w:eastAsia="楷体" w:cs="楷体"/>
          <w:b w:val="0"/>
          <w:sz w:val="21"/>
          <w:lang w:val="en-US" w:eastAsia="zh-CN"/>
        </w:rPr>
        <w:t>学号</w:t>
      </w:r>
      <w:r>
        <w:rPr>
          <w:rFonts w:hint="eastAsia" w:ascii="楷体" w:hAnsi="楷体" w:eastAsia="楷体" w:cs="楷体"/>
          <w:b w:val="0"/>
          <w:sz w:val="21"/>
        </w:rPr>
        <w:t>：</w:t>
      </w:r>
      <w:r>
        <w:rPr>
          <w:rFonts w:hint="eastAsia" w:ascii="楷体" w:hAnsi="楷体" w:eastAsia="楷体" w:cs="楷体"/>
          <w:b w:val="0"/>
          <w:sz w:val="21"/>
          <w:u w:val="single"/>
        </w:rPr>
        <w:t>______</w:t>
      </w:r>
      <w:r>
        <w:rPr>
          <w:rFonts w:hint="eastAsia" w:ascii="楷体" w:hAnsi="楷体" w:eastAsia="楷体" w:cs="楷体"/>
          <w:b w:val="0"/>
          <w:sz w:val="21"/>
          <w:u w:val="single"/>
          <w:lang w:val="en-US" w:eastAsia="zh-CN"/>
        </w:rPr>
        <w:t xml:space="preserve"> </w:t>
      </w:r>
      <w:r>
        <w:rPr>
          <w:rFonts w:hint="eastAsia" w:ascii="楷体" w:hAnsi="楷体" w:eastAsia="楷体" w:cs="楷体"/>
          <w:b w:val="0"/>
          <w:sz w:val="21"/>
          <w:lang w:val="en-US" w:eastAsia="zh-CN"/>
        </w:rPr>
        <w:t xml:space="preserve"> 时间</w:t>
      </w:r>
      <w:r>
        <w:rPr>
          <w:rFonts w:hint="eastAsia" w:ascii="楷体" w:hAnsi="楷体" w:eastAsia="楷体" w:cs="楷体"/>
          <w:b w:val="0"/>
          <w:sz w:val="21"/>
        </w:rPr>
        <w:t>：</w:t>
      </w:r>
      <w:r>
        <w:rPr>
          <w:rFonts w:hint="eastAsia" w:ascii="楷体" w:hAnsi="楷体" w:eastAsia="楷体" w:cs="楷体"/>
          <w:b w:val="0"/>
          <w:sz w:val="21"/>
          <w:u w:val="single"/>
          <w:lang w:val="en-US" w:eastAsia="zh-CN"/>
        </w:rPr>
        <w:t>40分钟+40分钟</w:t>
      </w:r>
      <w:r>
        <w:rPr>
          <w:rFonts w:hint="eastAsia" w:ascii="楷体" w:hAnsi="楷体" w:eastAsia="楷体" w:cs="楷体"/>
          <w:b w:val="0"/>
          <w:sz w:val="21"/>
          <w:lang w:val="en-US" w:eastAsia="zh-CN"/>
        </w:rPr>
        <w:t xml:space="preserve">   练习日期：</w:t>
      </w:r>
      <w:r>
        <w:rPr>
          <w:rFonts w:hint="eastAsia" w:ascii="楷体" w:hAnsi="楷体" w:eastAsia="楷体" w:cs="楷体"/>
          <w:b w:val="0"/>
          <w:sz w:val="21"/>
          <w:u w:val="single"/>
        </w:rPr>
        <w:t>___________</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2" w:firstLineChars="200"/>
        <w:jc w:val="left"/>
        <w:textAlignment w:val="auto"/>
        <w:rPr>
          <w:rFonts w:hint="eastAsia" w:ascii="宋体" w:hAnsi="宋体" w:eastAsia="宋体" w:cs="宋体"/>
          <w:b/>
          <w:sz w:val="21"/>
        </w:rPr>
      </w:pPr>
      <w:r>
        <w:rPr>
          <w:rFonts w:hint="eastAsia" w:ascii="宋体" w:hAnsi="宋体" w:eastAsia="宋体" w:cs="宋体"/>
          <w:b/>
          <w:sz w:val="21"/>
        </w:rPr>
        <w:t>一、单选题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1．多样性是人类文明的魅力所在，更是世界发展的活力和动力之源。文明没有高下、优劣之分，只有特色、地域之别，只有在交流中才能融合，在融合中才能进步。下列名句与材料所蕴含的哲理一致的是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A．青山一道同云雨，明月何曾是两乡</w:t>
      </w:r>
      <w:r>
        <w:rPr>
          <w:rFonts w:hint="eastAsia" w:ascii="宋体" w:hAnsi="宋体" w:cs="宋体"/>
          <w:lang w:val="en-US" w:eastAsia="zh-CN"/>
        </w:rPr>
        <w:tab/>
        <w:t/>
      </w:r>
      <w:r>
        <w:rPr>
          <w:rFonts w:hint="eastAsia" w:ascii="宋体" w:hAnsi="宋体" w:cs="宋体"/>
          <w:lang w:val="en-US" w:eastAsia="zh-CN"/>
        </w:rPr>
        <w:tab/>
        <w:t/>
      </w:r>
      <w:r>
        <w:rPr>
          <w:rFonts w:hint="eastAsia" w:ascii="宋体" w:hAnsi="宋体" w:cs="宋体"/>
          <w:lang w:val="en-US" w:eastAsia="zh-CN"/>
        </w:rPr>
        <w:tab/>
      </w:r>
      <w:r>
        <w:rPr>
          <w:rFonts w:hint="eastAsia" w:ascii="宋体" w:hAnsi="宋体" w:eastAsia="宋体" w:cs="宋体"/>
        </w:rPr>
        <w:t>B．万物各得其和以生，各得其养以成</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C．大鹏一日同风起，扶摇直上九万里</w:t>
      </w:r>
      <w:r>
        <w:rPr>
          <w:rFonts w:hint="eastAsia" w:ascii="宋体" w:hAnsi="宋体" w:cs="宋体"/>
          <w:lang w:val="en-US" w:eastAsia="zh-CN"/>
        </w:rPr>
        <w:tab/>
        <w:t/>
      </w:r>
      <w:r>
        <w:rPr>
          <w:rFonts w:hint="eastAsia" w:ascii="宋体" w:hAnsi="宋体" w:cs="宋体"/>
          <w:lang w:val="en-US" w:eastAsia="zh-CN"/>
        </w:rPr>
        <w:tab/>
        <w:t/>
      </w:r>
      <w:r>
        <w:rPr>
          <w:rFonts w:hint="eastAsia" w:ascii="宋体" w:hAnsi="宋体" w:cs="宋体"/>
          <w:lang w:val="en-US" w:eastAsia="zh-CN"/>
        </w:rPr>
        <w:tab/>
      </w:r>
      <w:r>
        <w:rPr>
          <w:rFonts w:hint="eastAsia" w:ascii="宋体" w:hAnsi="宋体" w:eastAsia="宋体" w:cs="宋体"/>
        </w:rPr>
        <w:t>D．非尽百家之美，则不能成一人之奇</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2．乡村振兴，关键在人。近年来，河南温县招贤乡在实施乡村振兴战略中，紧紧围绕¨乡风文明”，认真梳理“文化特点”，积极反思“历程规律”，不断激活“乡贤文化”，通过颂传“昔贤”、引进“今贤”、培育“新贤”，以党建引领振兴乡贤文化，以其嘉言懿行垂范乡里，以文明新风助力乡村振兴。这表明</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①社会实践是文化创新不尽的源泉和不竭动力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②乡贤文化在当前的乡村社会治理中起决定作用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③要推动乡村振兴，必须发挥好乡贤文化的引领作用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④乡贤文化需要与时俱进，与乡村精神文明建设相适应</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B．②④</w:t>
      </w:r>
      <w:r>
        <w:rPr>
          <w:rFonts w:hint="eastAsia" w:ascii="宋体" w:hAnsi="宋体" w:eastAsia="宋体" w:cs="宋体"/>
        </w:rPr>
        <w:tab/>
      </w:r>
      <w:r>
        <w:rPr>
          <w:rFonts w:hint="eastAsia" w:ascii="宋体" w:hAnsi="宋体" w:eastAsia="宋体" w:cs="宋体"/>
        </w:rPr>
        <w:t>C．①④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3．近两年“国潮”文化兴起，年轻人越来越热爱“国潮”文化，衣食住行都有国潮元素的影子。“国潮”的核心底蕴是国，表现形式是潮，是结合当下新人群、新需求、新技术、新场景后产生的新事物、新的展现方式。“国潮”文化的流行</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①是建立在与其他文明比较之后的自觉自信之上</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②说明传统文化与现代经济融合才能体现其价值</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③助力中华文化传承，增强对自身文化的认同感</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④映射了传统文化是民族之基，应该回归传统文化</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B．③④</w:t>
      </w:r>
      <w:r>
        <w:rPr>
          <w:rFonts w:hint="eastAsia" w:ascii="宋体" w:hAnsi="宋体" w:eastAsia="宋体" w:cs="宋体"/>
        </w:rPr>
        <w:tab/>
      </w:r>
      <w:r>
        <w:rPr>
          <w:rFonts w:hint="eastAsia" w:ascii="宋体" w:hAnsi="宋体" w:eastAsia="宋体" w:cs="宋体"/>
        </w:rPr>
        <w:t>C．①③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4．党的十八大以来，习近平总书记发表的系列重要讲话，蕴含了一系列治国理政的科学思维。下列体现同一种思维方法的是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①不能简单以GDP论英雄，必须推动经济高质量发展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②五大发展理念是具有内在联系的集合体，要统一贯彻，不能相互替代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③全球治理体制机制改革并不是推倒重来，也不是另起炉灶，而是创新完善</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④抓作风，要有足够的力量和长期的作为，坚持稳扎稳打、步步为营、久久为功</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B．③④</w:t>
      </w:r>
      <w:r>
        <w:rPr>
          <w:rFonts w:hint="eastAsia" w:ascii="宋体" w:hAnsi="宋体" w:eastAsia="宋体" w:cs="宋体"/>
        </w:rPr>
        <w:tab/>
      </w:r>
      <w:r>
        <w:rPr>
          <w:rFonts w:hint="eastAsia" w:ascii="宋体" w:hAnsi="宋体" w:eastAsia="宋体" w:cs="宋体"/>
        </w:rPr>
        <w:t>C．①③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5．人们知道磁铁吸引铁屑、有电流的导线会使磁铁发生偏转现象。法拉第从这些现象中发现了电磁感应定律，麦克斯韦的研究使电磁理论更加系统。在电磁理论的基础上，人们制造出发电机、无线电发射机等。上述材料说明在认识发展的过程中</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①需要以感性具体作为思维的起点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②通过思维抽象能够把握认识对象整体的本质和规律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③感性具体、思维抽象、思维具体是相互依赖、不可分割的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④要经历从感性具体到思维抽象、再从思维抽象到思维具体两个过程</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6．在二〇二二年新年贺词中，习近平总书记为我们干事创业指明了方法路径，要求我们“致广大而尽精微”；“干事业做工作……要做到谋划时统揽大局、操作中细致精当。”这告诉我们干事创业</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①要“致广大”，整体性地思考问题，制定远大的目标规划</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②要“尽精微”，立足关键部分，把远大目标规划落实落细</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③要统筹兼顾“致广大”和“尽精微”，坚持分析与综合的方法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④要遵循质量互变规律，“尽精微”，积微成著，防止过犹不及</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7．马克思、恩格斯指出，“无产阶级的运动是绝大多数人的、为绝大多数人谋利益的独立的运动”，在未来社会“生产将以所有的人富裕为目的”。社会主义制度以生产资料公有制和按劳分配为基本特征，社会主义制度下的社会再生产活动以全体社会成员充分参与的高水平社会化大生产为路径，以不断满足全体人民日益增长的美好生活需要为目标。材料中</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①对“无产阶级的运动”的描述，阐明了实现共同富裕的深层次原因</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②对“目的”的描述，揭示了社会主义的本质要求和无产阶级最终奋斗目标</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③对“基本特征”的描述，说明共同富裕的实现离不开经济的高质量发展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④对“路径”的描述，体现了生产力决定生产关系这一马克思主义基本原理</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8．2022年5月26日，人社部、财政部发布《关于2022年调整退休人员基本养老金的通知》，明确从2022年1月1日起，调整企业和机关事业单位退休人员基本养老金水平（上涨4%），退休人员基本养老金迎来18连涨。我国养老金水平的不断提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①表明我国坚持社会保障水平与经济社会发展相适应</w:t>
      </w:r>
      <w:r>
        <w:rPr>
          <w:rFonts w:hint="eastAsia" w:ascii="宋体" w:hAnsi="宋体" w:eastAsia="宋体" w:cs="宋体"/>
          <w:kern w:val="0"/>
          <w:sz w:val="24"/>
          <w:szCs w:val="24"/>
        </w:rPr>
        <w:t>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②为保障退休人员的生活安全筑牢了“最后一道防线”</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③体现了社会主义的本质，提高了退休人员的福利水平</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④有利于增强退休人员的获得感、幸福感、安全感</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9．产业数字化是指在新一代数字科技支撑和引领下，以数据赋能为主线，对产业链上下游的全要素数字化升级、转型和再造的过程。截止2021年8月，我国累计建成5G基站数达103.7万个，建成了全球最大规模的5G网络，助力产业数字化。产业数字化的发展为我国制造业的健康发展提供强劲动力，产业数字化传导路径正确的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A．提升生产的自动化、智能化水平→提高经济效益→增强市场竞争力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B．降低产品研发和制造成本→实现精细化营销、个性化服务→催生盈利商业模式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C．驱动精准触达客户需求→提升产业价值链、供应链→占领市场制高点</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D．产业分工精细化、协同化、平台化→扩大经济规模→全新产业生态体系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10．中央经济工作会议明确2022年积极的财政政策取向不变，进一步优化财政支出结构，落实过‘紧日子’要求，同时加强对基本民生、对重点领域、对地方特别是基层的财力保障。下列能说明2022年我国财政政策传导路径的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①适度提高财政赤字率→扩大国债发行规模→投资增加→刺激经济增长</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②加大民生支出力度→稳定社会预期→消费需求增加→拉动经济增长</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③降低存贷款利率→企业融资成本降低→投资、消费需求增加→拉动经济增长</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④下调增值税起征点→企业税负增加→增加研发投入→优化供给结构</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A．①④</w:t>
      </w:r>
      <w:r>
        <w:rPr>
          <w:rFonts w:hint="eastAsia" w:ascii="宋体" w:hAnsi="宋体" w:eastAsia="宋体" w:cs="宋体"/>
        </w:rPr>
        <w:tab/>
      </w:r>
      <w:r>
        <w:rPr>
          <w:rFonts w:hint="eastAsia" w:ascii="宋体" w:hAnsi="宋体" w:eastAsia="宋体" w:cs="宋体"/>
        </w:rPr>
        <w:t>B．③④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D．①②</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11．近日，京津冀“3+N”联盟推动冠脉扩张球囊类医用耗材带量联动采购，本次集中带量采购的冠脉扩张球囊，结构为快速交换型，延续了国家组织冠脉支架集中带量采购的成功经验，坚持带量采购、招采合一、确保使用的原则。经过本次集采，联盟地区冠脉扩张球囊价格从均价3401元下降至319元，与2020年相比，相同企业的相同产品平均降价90%，药品集中采购对降低药价生产的联动效应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①带量采购、招采合→企业明确生产预期→无效投资与供给减少→压缩价格虚高空间</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②完善采购规则→规范流通秩序→企业公平竞争→完善基本的医疗制度</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③确定质量标准→企业提质增效→改善医药环境→提高药品降价空间</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④带量采购、确保使用→减少企业销售公关→降低成本→复活低价药</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B．③④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D．①④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12．甲乙两地相互毗邻，丙丁两地相互毗邻。同一时期，四地的经济发展调查数据如图所示：</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drawing>
          <wp:inline distT="0" distB="0" distL="114300" distR="114300">
            <wp:extent cx="5117465" cy="1590675"/>
            <wp:effectExtent l="0" t="0" r="6985"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5117465" cy="159067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注：互补产业是指不同地区之间产业要素的相互补偿和相互依赖的关系。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对图中信息分析合理的是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①与丙丁相比，甲乙两地之间的市场更加畅通，经济循环效率更高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②甲乙两地商品要素价格比较接近，说明两地具有相似的比较优势</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③标准不一、流通不畅、市场分割等因素，可以解释丙丁的情况</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④随着统一市场的建设，各地的竞争将更加激烈，菜价与工资更趋差异化</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13．波罗的海指数（BDI）是目前世界上衡量国际海运情况的权威指数，是反映国际间贸易情况的领先指数，该指数显著下降说明国际间的贸易不景气，下列选项中有可能引发BDI下降的有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①跨境电子商务的发展改变了传统贸易的形式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②跨国公司把国际贸易发展为跨国公司的内部贸易</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③部分国家对国际相关商品的需求下降</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④个别国家发生金融危机波及其他国家</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14．任何一个国家的资源都是有限的,要合理利用资源生产某种产品必然要放弃其他产品的生产,放弃的其他产品量就是生产该产品的机会成本。如果一国生产某种产品的机会成本低于另一个国家,那么,这个国家在生产这种产品时就有比较优势。下列关于甲国与乙国的说法正确的是</w:t>
      </w:r>
    </w:p>
    <w:tbl>
      <w:tblPr>
        <w:tblStyle w:val="4"/>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0"/>
        <w:gridCol w:w="1305"/>
        <w:gridCol w:w="3465"/>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755" w:type="dxa"/>
            <w:gridSpan w:val="2"/>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p>
        </w:tc>
        <w:tc>
          <w:tcPr>
            <w:tcW w:w="34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生产一辆汽车</w:t>
            </w:r>
          </w:p>
        </w:tc>
        <w:tc>
          <w:tcPr>
            <w:tcW w:w="30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生产一吨粮食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50"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甲国</w:t>
            </w:r>
          </w:p>
        </w:tc>
        <w:tc>
          <w:tcPr>
            <w:tcW w:w="1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需要时间</w:t>
            </w:r>
          </w:p>
        </w:tc>
        <w:tc>
          <w:tcPr>
            <w:tcW w:w="34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10 000小时</w:t>
            </w:r>
          </w:p>
        </w:tc>
        <w:tc>
          <w:tcPr>
            <w:tcW w:w="30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500小时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p>
        </w:tc>
        <w:tc>
          <w:tcPr>
            <w:tcW w:w="1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机会成本</w:t>
            </w:r>
          </w:p>
        </w:tc>
        <w:tc>
          <w:tcPr>
            <w:tcW w:w="34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生产20吨粮食</w:t>
            </w:r>
          </w:p>
        </w:tc>
        <w:tc>
          <w:tcPr>
            <w:tcW w:w="30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生产0.05辆汽车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50"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乙国</w:t>
            </w:r>
          </w:p>
        </w:tc>
        <w:tc>
          <w:tcPr>
            <w:tcW w:w="1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需要时间</w:t>
            </w:r>
          </w:p>
        </w:tc>
        <w:tc>
          <w:tcPr>
            <w:tcW w:w="34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9 000小时</w:t>
            </w:r>
          </w:p>
        </w:tc>
        <w:tc>
          <w:tcPr>
            <w:tcW w:w="30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300小时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p>
        </w:tc>
        <w:tc>
          <w:tcPr>
            <w:tcW w:w="13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机会成本</w:t>
            </w:r>
          </w:p>
        </w:tc>
        <w:tc>
          <w:tcPr>
            <w:tcW w:w="34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生产30吨粮食</w:t>
            </w:r>
          </w:p>
        </w:tc>
        <w:tc>
          <w:tcPr>
            <w:tcW w:w="30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生产0.033辆汽车</w:t>
            </w:r>
          </w:p>
        </w:tc>
      </w:tr>
    </w:tbl>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①甲国的比较优势是生产汽车</w:t>
      </w:r>
      <w:r>
        <w:rPr>
          <w:rFonts w:hint="eastAsia" w:ascii="宋体" w:hAnsi="宋体" w:cs="宋体"/>
          <w:lang w:val="en-US" w:eastAsia="zh-CN"/>
        </w:rPr>
        <w:tab/>
        <w:t/>
      </w:r>
      <w:r>
        <w:rPr>
          <w:rFonts w:hint="eastAsia" w:ascii="宋体" w:hAnsi="宋体" w:cs="宋体"/>
          <w:lang w:val="en-US" w:eastAsia="zh-CN"/>
        </w:rPr>
        <w:tab/>
        <w:t/>
      </w:r>
      <w:r>
        <w:rPr>
          <w:rFonts w:hint="eastAsia" w:ascii="宋体" w:hAnsi="宋体" w:cs="宋体"/>
          <w:lang w:val="en-US" w:eastAsia="zh-CN"/>
        </w:rPr>
        <w:tab/>
      </w:r>
      <w:r>
        <w:rPr>
          <w:rFonts w:hint="eastAsia" w:ascii="宋体" w:hAnsi="宋体" w:eastAsia="宋体" w:cs="宋体"/>
        </w:rPr>
        <w:t>②乙国的比较优势是生产汽车</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③乙国的比较优势是生产粮食</w:t>
      </w:r>
      <w:r>
        <w:rPr>
          <w:rFonts w:hint="eastAsia" w:ascii="宋体" w:hAnsi="宋体" w:cs="宋体"/>
          <w:lang w:val="en-US" w:eastAsia="zh-CN"/>
        </w:rPr>
        <w:tab/>
        <w:t/>
      </w:r>
      <w:r>
        <w:rPr>
          <w:rFonts w:hint="eastAsia" w:ascii="宋体" w:hAnsi="宋体" w:cs="宋体"/>
          <w:lang w:val="en-US" w:eastAsia="zh-CN"/>
        </w:rPr>
        <w:tab/>
        <w:t/>
      </w:r>
      <w:r>
        <w:rPr>
          <w:rFonts w:hint="eastAsia" w:ascii="宋体" w:hAnsi="宋体" w:cs="宋体"/>
          <w:lang w:val="en-US" w:eastAsia="zh-CN"/>
        </w:rPr>
        <w:tab/>
      </w:r>
      <w:r>
        <w:rPr>
          <w:rFonts w:hint="eastAsia" w:ascii="宋体" w:hAnsi="宋体" w:eastAsia="宋体" w:cs="宋体"/>
        </w:rPr>
        <w:t>④甲国的比较优势是生产粮食</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15．“世界开放指数”测度的是各个国家和地区的跨境经济开放以及同经济开放直接、密切相关的跨境社会开放和文化开放，包括开放政策和开放绩效，形成可统计测算的 29项具体量化指标。有关研究表明，10年来"世界开放指数"不断下滑，全球开放共识弱化。提高"世界开放指数"势在必行，为此要</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①建设开放型世界经济，拓展各国发展空间</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②建设创新型世界经济，凝聚各国互动合力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③建设联动型世界经济，消除意识形态差别</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④建设包容型世界经济，夯实互利共赢基础</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0" w:firstLineChars="200"/>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ind w:firstLine="422" w:firstLineChars="200"/>
        <w:jc w:val="left"/>
        <w:textAlignment w:val="auto"/>
        <w:rPr>
          <w:rFonts w:ascii="宋体" w:hAnsi="宋体" w:eastAsia="宋体" w:cs="宋体"/>
          <w:b/>
          <w:sz w:val="21"/>
        </w:rPr>
      </w:pPr>
      <w:r>
        <w:rPr>
          <w:rFonts w:ascii="宋体" w:hAnsi="宋体" w:eastAsia="宋体" w:cs="宋体"/>
          <w:b/>
          <w:sz w:val="21"/>
        </w:rPr>
        <w:t>二、材料分析题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r>
        <w:t>16．阅读材料，完成下列要求。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目前，我国数据中心大多分布在东部地区，但由于东部地区土地、能源等资源日趋紧张，且人工成本较高，难以为继。中西部地区煤炭资源尤其是水能、风能等可再生资源丰富，电力供应充足，且人工费用偏低，加上西北地区温湿度对于敏感的电子设备而言是最为理想的运行环境，这给西部地区的发展开辟了一条新道路。“东数西算”工程是国家重大工程，是经中央部门多方论证、综合考虑我国现在资源、产业分布作出的重大决策。2022年2月17日，“东数西算”工程正式全面启动，通过全国一体化的数据中心布局建设，扩大算力设施规模，加快推动算力建设，将有效加速数字产业化和产业数字化进程，催生新技术、新产业、新业态、新模式，支撑经济高质量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运用辩证思维的相关知识，分析“东数西算”工程的合理性。</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t>17．</w:t>
      </w:r>
      <w:r>
        <w:rPr>
          <w:rFonts w:ascii="楷体" w:hAnsi="楷体" w:eastAsia="楷体" w:cs="楷体"/>
        </w:rPr>
        <w:t>铭记奋斗历程汲取前行力量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在中国共产党一百年的非凡历程中，一代又一代中国共产党人顽强拼搏自我革新，不断积淀形成了井冈山精神、长征精神、遵义会议精神、红岩精神、抗美援朝精神、"两弹一星"精神、特区精神、抗疫精神等伟大精神，构筑起了中国共产党人的精神谱系。这些宝责精神财富凝聚着中国共产党人艰苦奋斗、牺牲奉献、自我革命的伟大品格，跨越时空、历久弥新，深深融入我们党、国家、民族、人民的血脉中，凝聚成浩瀚磅磷之力，激励中国人民鼓起迈向新征程、奋进新时代的精气神，推动我们从胜利走向新的胜利。习近平总书记二十大报告指出，弘扬以伟大建党精神为源头的中国共产党人精神谱系，用好红色资源，深入开展社会主义核心价值观宣传教育。</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根据材料，从“发展中国特色社会主义文化”角度，分析加强中国共产党人精神谱系教育的时代价值。</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t>18．</w:t>
      </w:r>
      <w:r>
        <w:rPr>
          <w:rFonts w:ascii="楷体" w:hAnsi="楷体" w:eastAsia="楷体" w:cs="楷体"/>
        </w:rPr>
        <w:t>多措并举推进高质量发展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2021年，江苏GDP达到了11.64万亿元，超过了韩国。江苏省破除各类卡点堵点，着力打造市场化、法治化和国际化一流营商环境，让越来越多的企业、人才、资本选择江苏、扎根江苏。江苏注重在投入领域上有效引导，持续推动强链补链行动计划，大力发展战略性新兴产业和现代服务业，战略性新兴产业占规模以上工业比重接近40</w:t>
      </w:r>
      <w:r>
        <w:drawing>
          <wp:inline distT="0" distB="0" distL="114300" distR="114300">
            <wp:extent cx="66675" cy="9525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9"/>
                    <a:stretch>
                      <a:fillRect/>
                    </a:stretch>
                  </pic:blipFill>
                  <pic:spPr>
                    <a:xfrm>
                      <a:off x="0" y="0"/>
                      <a:ext cx="66675" cy="95250"/>
                    </a:xfrm>
                    <a:prstGeom prst="rect">
                      <a:avLst/>
                    </a:prstGeom>
                  </pic:spPr>
                </pic:pic>
              </a:graphicData>
            </a:graphic>
          </wp:inline>
        </w:drawing>
      </w:r>
      <w:r>
        <w:rPr>
          <w:rFonts w:ascii="楷体" w:hAnsi="楷体" w:eastAsia="楷体" w:cs="楷体"/>
        </w:rPr>
        <w:t>，高新技术产业占规模以上工业的占比接近48</w:t>
      </w:r>
      <w:r>
        <w:drawing>
          <wp:inline distT="0" distB="0" distL="114300" distR="114300">
            <wp:extent cx="66675" cy="9525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9"/>
                    <a:stretch>
                      <a:fillRect/>
                    </a:stretch>
                  </pic:blipFill>
                  <pic:spPr>
                    <a:xfrm>
                      <a:off x="0" y="0"/>
                      <a:ext cx="66675" cy="95250"/>
                    </a:xfrm>
                    <a:prstGeom prst="rect">
                      <a:avLst/>
                    </a:prstGeom>
                  </pic:spPr>
                </pic:pic>
              </a:graphicData>
            </a:graphic>
          </wp:inline>
        </w:drawing>
      </w:r>
      <w:r>
        <w:rPr>
          <w:rFonts w:ascii="楷体" w:hAnsi="楷体" w:eastAsia="楷体" w:cs="楷体"/>
        </w:rPr>
        <w:t>。以智能制造为主攻方向，对5万多家规模以上制造业企业进行了智能化、数字化改造。七大高耗能行业占规模以上工业比重由2012年的33.5</w:t>
      </w:r>
      <w:r>
        <w:drawing>
          <wp:inline distT="0" distB="0" distL="114300" distR="114300">
            <wp:extent cx="66675" cy="9525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9"/>
                    <a:stretch>
                      <a:fillRect/>
                    </a:stretch>
                  </pic:blipFill>
                  <pic:spPr>
                    <a:xfrm>
                      <a:off x="0" y="0"/>
                      <a:ext cx="66675" cy="95250"/>
                    </a:xfrm>
                    <a:prstGeom prst="rect">
                      <a:avLst/>
                    </a:prstGeom>
                  </pic:spPr>
                </pic:pic>
              </a:graphicData>
            </a:graphic>
          </wp:inline>
        </w:drawing>
      </w:r>
      <w:r>
        <w:rPr>
          <w:rFonts w:ascii="楷体" w:hAnsi="楷体" w:eastAsia="楷体" w:cs="楷体"/>
        </w:rPr>
        <w:t>下降到了去年的29.3</w:t>
      </w:r>
      <w:r>
        <w:drawing>
          <wp:inline distT="0" distB="0" distL="114300" distR="114300">
            <wp:extent cx="66675" cy="9525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66675" cy="95250"/>
                    </a:xfrm>
                    <a:prstGeom prst="rect">
                      <a:avLst/>
                    </a:prstGeom>
                  </pic:spPr>
                </pic:pic>
              </a:graphicData>
            </a:graphic>
          </wp:inline>
        </w:drawing>
      </w:r>
      <w:r>
        <w:rPr>
          <w:rFonts w:ascii="楷体" w:hAnsi="楷体" w:eastAsia="楷体" w:cs="楷体"/>
        </w:rPr>
        <w:t>。打好政策“组合拳”，引导金融机构对高新技术企业、战略性新兴产业、关键软件和信息技术服务业中小微企业等给予信贷支持。2021年江苏民营经济对全省GDP增长贡献率达63.1</w:t>
      </w:r>
      <w:r>
        <w:drawing>
          <wp:inline distT="0" distB="0" distL="114300" distR="114300">
            <wp:extent cx="66675" cy="9525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9"/>
                    <a:stretch>
                      <a:fillRect/>
                    </a:stretch>
                  </pic:blipFill>
                  <pic:spPr>
                    <a:xfrm>
                      <a:off x="0" y="0"/>
                      <a:ext cx="66675" cy="95250"/>
                    </a:xfrm>
                    <a:prstGeom prst="rect">
                      <a:avLst/>
                    </a:prstGeom>
                  </pic:spPr>
                </pic:pic>
              </a:graphicData>
            </a:graphic>
          </wp:inline>
        </w:drawing>
      </w:r>
      <w:r>
        <w:rPr>
          <w:rFonts w:ascii="楷体" w:hAnsi="楷体" w:eastAsia="楷体" w:cs="楷体"/>
        </w:rPr>
        <w:t>，民营企业出口占全省出口比重达44.2</w:t>
      </w:r>
      <w:r>
        <w:drawing>
          <wp:inline distT="0" distB="0" distL="114300" distR="114300">
            <wp:extent cx="66675" cy="9525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
                    <a:stretch>
                      <a:fillRect/>
                    </a:stretch>
                  </pic:blipFill>
                  <pic:spPr>
                    <a:xfrm>
                      <a:off x="0" y="0"/>
                      <a:ext cx="66675" cy="95250"/>
                    </a:xfrm>
                    <a:prstGeom prst="rect">
                      <a:avLst/>
                    </a:prstGeom>
                  </pic:spPr>
                </pic:pic>
              </a:graphicData>
            </a:graphic>
          </wp:inline>
        </w:drawing>
      </w:r>
      <w:r>
        <w:rPr>
          <w:rFonts w:ascii="楷体" w:hAnsi="楷体" w:eastAsia="楷体" w:cs="楷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结合材料，运用《经济与社会》知识，简要分析江苏经济高质量发展的原因。</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t>19．</w:t>
      </w:r>
      <w:r>
        <w:rPr>
          <w:rFonts w:ascii="楷体" w:hAnsi="楷体" w:eastAsia="楷体" w:cs="楷体"/>
        </w:rPr>
        <w:t>初级产品包括农产品、能源和矿产等，是整个经济最为基础的部分。</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Times New Roman'" w:hAnsi="'Times New Roman'" w:eastAsia="'Times New Roman'" w:cs="'Times New Roman'"/>
        </w:rP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2015年—2021年我国铁矿石原矿产量、进口量、对外依存度情况</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drawing>
          <wp:inline distT="0" distB="0" distL="114300" distR="114300">
            <wp:extent cx="4281170" cy="2113280"/>
            <wp:effectExtent l="0" t="0" r="5080" b="127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0"/>
                    <a:stretch>
                      <a:fillRect/>
                    </a:stretch>
                  </pic:blipFill>
                  <pic:spPr>
                    <a:xfrm>
                      <a:off x="0" y="0"/>
                      <a:ext cx="4281170" cy="211328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(1)材料一反映了哪些经济信息？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ascii="楷体" w:hAnsi="楷体" w:eastAsia="楷体" w:cs="楷体"/>
        </w:rP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初级产品是指未经加工或略做加工，有待进一步加工的产品，如铁矿石等。我国铁矿储量居世界前列，但人均资源量仅为世界平均水平的25</w:t>
      </w:r>
      <w:r>
        <w:drawing>
          <wp:inline distT="0" distB="0" distL="114300" distR="114300">
            <wp:extent cx="66675" cy="9525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9"/>
                    <a:stretch>
                      <a:fillRect/>
                    </a:stretch>
                  </pic:blipFill>
                  <pic:spPr>
                    <a:xfrm>
                      <a:off x="0" y="0"/>
                      <a:ext cx="66675" cy="95250"/>
                    </a:xfrm>
                    <a:prstGeom prst="rect">
                      <a:avLst/>
                    </a:prstGeom>
                  </pic:spPr>
                </pic:pic>
              </a:graphicData>
            </a:graphic>
          </wp:inline>
        </w:drawing>
      </w:r>
      <w:r>
        <w:rPr>
          <w:rFonts w:ascii="楷体" w:hAnsi="楷体" w:eastAsia="楷体" w:cs="楷体"/>
        </w:rPr>
        <w:t>，且存在品位不高、利用率较低等问题。我国已成为全球最大的铁矿石进口国且进口来源国较为集中，同时也是最大的钢材出口国且大多数是初级产品，对铁矿石等原材料有着巨大需求。2021年，国际市场上铁矿石价格上涨，并不断向中下游传导，使原材料工业、加工业、消费品工业成本普遍上升。2022年，受新冠肺炎疫情、主要经济体货币政策转向等多重因素共同影响，国际大宗商品价格形势更加严峻复杂和不确定。2月，国家发改委等12部门联合发布政策通知，做好铁矿石等大宗商品价格监测预警，支持企业投资开发铁矿等国内具备资源条件、符合要求的矿产开发项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(2)结合材料一、二，运用《经济与社会》和《当代国际政治与经济》知识，就“如何保障初级产品的供给”提一份合理化建议。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r>
        <w:t>20．阅读材料，完成下列要求。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某省作为内陆省份，处于陆上丝绸之路和海上丝绸之路的交汇点，是一带一路建设的主干道。该省电力设备、服装纺织、农机农资等产业基础较好、具有特色，但钢铁、水泥、化工等行业存在富余产能，借“一带一路”建设之势，该省力争3年内实现产能转移，集中突破20个对外投资项目，对沿线国家的优势产业贸易从200亿美元扩至300亿美元；在轨道交通、航空航天、现代金融、现代物流等领域打造一批新的千亿产业集群，着力提高产品质量和技术水平，培育信息服务、跨境电子商务、服务外包等新型服务贸易；大力引进外资，通过“放管服”下放外资对于高科技产业投资的审批权限，建立健全外商投资企业投诉工作机制，使贸易更加便利、自由，提升外资的利用水平和质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结合材料，运用“发展更高层次的开放型经济”知识，分析该省是如何借“一带一路”建设之势，实现自身发展的？</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sectPr>
          <w:footerReference r:id="rId3" w:type="default"/>
          <w:footerReference r:id="rId4" w:type="even"/>
          <w:pgSz w:w="11907" w:h="16839"/>
          <w:pgMar w:top="1020" w:right="1134" w:bottom="1020" w:left="1134" w:header="500" w:footer="500" w:gutter="0"/>
          <w:pgNumType w:fmt="decimal"/>
          <w:cols w:space="425" w:num="1" w:sep="1"/>
          <w:docGrid w:type="lines" w:linePitch="312" w:charSpace="0"/>
        </w:sectPr>
      </w:pP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center"/>
        <w:textAlignment w:val="auto"/>
        <w:rPr>
          <w:rFonts w:hint="eastAsia" w:ascii="宋体" w:hAnsi="宋体" w:eastAsia="宋体" w:cs="宋体"/>
          <w:b/>
          <w:sz w:val="21"/>
        </w:rPr>
      </w:pPr>
      <w:r>
        <w:rPr>
          <w:rFonts w:hint="eastAsia" w:ascii="宋体" w:hAnsi="宋体" w:eastAsia="宋体" w:cs="宋体"/>
          <w:b/>
          <w:sz w:val="21"/>
        </w:rPr>
        <w:t>参考答案：</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1．D</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A：青山一道同云雨，明月何曾是两乡，意思是两地的青山同被云朵荫蔽、雨露润泽，同顶一轮明月又何曾身处两地呢？表达了对友人的思念之情，A观点不符合题意。B：万物各得其和以生，各得其养以成，意思是天下万物，各自得到各自的和气而生成，各自得到各自的滋养以成长，强调了人类应该尊重自然，B观点不符合题意。C：大鹏一日同风起，扶摇直上九万里，意思是大鹏总有一天会和风飞起，凭借风力直上九霄云外，强调说明志存高远，C观点不符合题意。D：非尽百家之美，则不能成一人之奇，意思是不能博采百家之长， 也就不能形成自家的新奇风格，强调了文化多样的重要性，D观点符合题意。</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2．C</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④：在实施乡村振兴战略中，认真梳理“文化特点”，积极反思“历程规律”，不断激活“乡贤文化，体现了社会实践是文化创新不尽的源泉和不竭动力，乡贤文化需要与时俱进，与乡村精神文明建设相适应，①④符合题意。②：乡贤文化在当前的乡村社会治理中起决定作用说法错误，②说法错误。③：乡贤文化引领乡村振兴说法错误，③不符合题意。</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3．C</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③：“国潮”的核心底蕴是国，表现形式是潮，是结合当下新人群、新需求、新技术、新场景后产生的新事物、新的展现方式，这是建立在与其他文明比较之后的自觉自信之上，能助力中华文化传承，增强对自身文化的认同感，故①③正确。②：传统文化与现代经济融合有助于实现其价值，但不是只有与现代经济融合才能体现其价值，该选项的说法太绝对，②排除。④：“应该回归传统文化”说法错误，传统文化有优秀和糟粕之分，④排除。</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4．C</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③：“不能简单以GDP论英雄，必须推动经济高质量发展”体现了对过去把GDP作为衡量经济发展水平的唯一指标的方法即肯定又否定，体现了辩证否定的思维；“全球治理体制机制改革并不是推倒重来，也不是另起炉灶，而是创新完善”，也体现了辩证否定的思维，二者体现了同一种思维方法。①③符合题意。②：“五大发展理念是具有内在联系的集合体，要统一贯彻，不能相互替代”把握了整体与局部的辩证关系，体现了分析与综合相结合的思维方法；②与题意不符。④：“抓作风，要有足够的力量和长期的作为，坚持稳扎稳打、步步为营、久久为功”体现了把握事物质量互变规律的思维，④与题意不符。</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5．B</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人们知道磁铁吸引铁屑现象、有电流的导线会使磁铁发生偏转现象”说明科学的认识要求把感性的具体事实作为科学抽象的依据和前提，①正确。②：通过思维具体才能把握事物整体的本质和规律，②错误。③：法拉第从这些现象中发现了电磁感应定律等，在这些理论基础上进一步制造出发电机、无线电发射机等，这是一个从感性具体到思维抽象再到思维具体的认识上升过程，表明感性具体、思维抽象、思维具体是相互依赖、不可分割的，③正确。④：从感性具体到思维抽象、再从思维抽象到思维具体是同一过程的两个阶段，④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6．B</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③：“干事业做工作……要做到谋划时统揽大局、操作中细致精当”，这告诉我们干事创业要“致广大”，整体性地思考问题，制定远大的目标规划，同时要统筹兼顾“致广大”和“尽精微”，坚持分析与综合的方法，①③符合题意。②：整体居于主导地位，整体统帅部分，所以要立足整体，部分影响整体，又要重视部分，要“尽精微”，把远大目标规划落实落细，②排除。④：要遵循质量互变规律，“尽精微”，积微成著，强调的是要重视量的积累，而不是防止过犹不及，④排除。</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7．B</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无产阶级的运动是绝大多数人的、为绝大多数人谋利益的独立的运动”，体现无产阶级是为大多数人谋利益的，这也是实现共同富裕的深层次原因。①符合题意。②：在未来社会“生产将以所有的人富裕为目的”，说明社会主义要最终实现共同富裕，揭示了社会主义的本质要求，但没有体现社会主义的最终奋斗目标，最终奋斗目标是实现共产主义。②不符合题意。③：社会主义制度以生产资料公有制和按劳分配为基本特征，说明了我国的分配制度，没有体现经济的高质量发展。③排除。④：社会主义制度下的社会再生产活动以全体社会成员充分参与的高水平社会化大生产为路径，体现了生产力决定生产关系这一马克思主义基本原理。④符合题意。</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8．B</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④：我国养老金水平的不断提高，表明我国坚持社会保障水平与经济社会发展相适应，有利于增强退休人员的获得感、幸福感、安全感，①④正确。②：社会救助是保障社会成员生活安全和生存权利的“最后一道防线”，②错误。③：基本养老金属于社会保险而非社会福利，③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9．A</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A：产业数字化的发展为我国制造业的健康发展提供强劲动力，产业数字化有利于提升生产的自动化、智能化水平，从而提高经济效益，增强市场竞争力，故A正确。B：产业数字化是指在新一代数字科技支撑和引领下，以数据赋能为主线，对产业链上下游的全要素数字化升级、转型和再造的过程，并不能降低产品研发和制造成本，而可能会提高产品研发和制造成本，而且降低产品研发和制造成本与实现精细化营销、个性化服务无关，故B错误。C：驱动精准触达客户需求体现的是对消费的影响，而材料强调的是产业数字化的发展为我国制造业的健康发展提供强劲动力，故C不符合题意。D：扩大经济规模并不意味着会形成全新产业生态体系，故D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10．D</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中央经济工作会议明确2022年积极的财政政策取向不变，可以通过适度提高财政赤字率，扩大国债发行规模，增加投资，进而起到刺激经济增长的目的，①正确。②：加强对基本民生、对重点领域、对地方特别是基层的财力保障，加大民生支出力度，稳定社会预期，从而刺激消费，进而拉动经济增长，②正确。③：题干要求的是财政政策，降低存贷款利率是货币政策，③不选。④：下调增值税起征点属于紧缩性财政政策，企业税负增加，不利于增加研发投入，不符合积极财政政策，④不选。</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11．D</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药品集中采购，坚持带量采购、招采合一的原则，给药品生产企业明确的预期，有利于企业根据政府订单有针对性地调整产品结构、减少资源浪费，从而降低成本和价格，①符合题意。②：企业公平竞争与完善基本的医疗制度无关，②排除。③：改善医药环境与提高药品降价空间无直接联系，③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④：药品集中采购,通过带量采购、确保使用，企业不需要进行销售公关，既有降低虚高药价的作用，也将一批低价药“复活”后重新送到患者手中，④符合题意。</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12．A</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互补产业是指不同地区之间产业要素的相互补偿和相互依赖的关系。丙丁两地的相同产业数量远高于甲乙，甲乙两地的互补产业数量远高于丙丁，这说明与丙丁相比，甲乙两地之间的市场更加畅通，经济循环效率更高，故①正确。②：比较优势指的是一个生产者以低于另一个生产者的机会成本生产一种物品的行为，图式显示不出来，故②排除。③：根据：丙丁两地商品的平均菜价和平均工资相差很多，而且丙丁两地的相同产业数量远高于甲乙，甲乙两地的互补产业数量远高于丙丁，可推断出：丙丁两地存在标准不一、流通不畅、市场分割等因素，故③正确。④：随着统一市场的建设，甲乙两地的竞争由于互补产业比较多，其竞争不会太激烈，甲乙两地的菜价和工资也不会更趋差异化，故④不选。</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13．D</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跨境电子商务的发展，有利于促进国际贸易的发展，会引起BDI的上升，①不选。②：跨国公司把国际贸易发展为跨国公司的内部贸易，有利于提高国际贸易水平，会引起BDI上升，②不选。③④：部分国家对国际相关商品的需求下降，个别国家发生金融危机波及其他国家，都会导致国际贸易水平的下降，从而引起BDI下降，③④不选。</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14．B</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如果一国生产某种产品的机会成本低于另一个国家,那么,这个国家在生产这种产品时就有比较优势。由本题表中的数据可以看出,甲国生产汽车具有比较优势,乙国生产粮食具有比较优势,①③正确且符合题意，②④：说法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15．B</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【详解】①④：“世界开放指数”测度的是各个国家和地区的跨境经济开放以及同经济开放直接、密切相关的跨境社会开放和文化开放，包括开放政策和开放绩效，形成可统计测算的 29项具体量化指标，提高"世界开放指数"势在必行，为此要建设开放型世界经济，拓展各国发展空间，建设包容型世界经济，夯实互利共赢基础，①④符合题意。②：材料未体现建设创新型世界经济，②不符合题意。③：消除意识形态差别，说法过于绝对，③错误。</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16．①事物是普遍联系的，我们要坚持整体性思维。通过全面考虑东西部的各项因素，推动全国一体化数据中心布局建设。②事物是变化发展的，必须用动态性思维认识问题。实施东数西算工程，有助于催生新技术、新产业、新业态、新模式，支撑经济高质量发展。③要在综合指导下分析，通过对东西部地区的土地、能源、人工费用等现状分析，启动东数西算工程，从而发挥不同区域的比较优势。④要在分析基础上综合，东数西算工程是经中央部门多方论证、综合考虑我国现在资源、产业分布作出的重大决策。</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【分析】</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关键词①：全面考虑东西部的各项因素，推动全国一体化数据中心布局建设→可联系教材知识辩证思维的整体性；</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关键词②：实施东数西算工程催生新技术、新产业、新业态→可联系教材知识辩证思维的动态性；</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关键词③：启动东数西算工程，发挥不同区域的比较优势→可联系教材知识在综合指导下进行分析；</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关键词④：东数西算工程是经中央部门多方论证、综合考虑推出的→可联系教材知识分析是综合的基础。</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第三步：整合信息，组织答案。注意设问限定以及教材知识与材料、时政信息等相结合。</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17．①中国共产党人精神谱系是中国共产党在革命、建设、改革中创造的革命文化和社会主义先进文化，是中国特色社会主义文化体系的重要组成部分，承载着中华民族最深层的精神追求，代表着中华民族独特的精神标识。②中国共产党代表先进文化的前进方向，是中国先进文化的积极引领者和践行者。开展精神谱系教育有利于加强党对文化工作的领导，牢牢掌握意识形态工作的领导权，更好地讴歌人民群众的伟大实践，展示人民精神风貌。③加强精神谱系教育有利于共产党人不忘初心牢记使命，坚定理想信念，增强实现中华民族伟大复兴的精神力量。④开展精神谱系教育，有利于培育和践行社会主义核心价值观，弘扬主旋律、传播正能量，推进文化自信自强，铸就社会主义文化新辉煌。</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【分析】</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①：一代又一代中国共产党人顽强拼搏自我革新，不断积淀形成了井冈山精神、长征精神、遵义会议精神、红岩精神、抗美援朝精神、"两弹一星"精神、特区精神、抗疫精神等伟大精神，构筑起了中国共产党人的精神谱系→可联系精神谱系是中特色社会主义文化的重要组成部分，具有重要的作用知识；</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②：这些宝责精神财富凝聚着中国共产党人艰苦奋斗、牺牲奉献、自我革命的伟大品格，跨越时空、历久弥新，深深融入我们党、国家、民族、人民的血脉中，凝聚成浩瀚磅磷之力，激励中国人民鼓起迈向新征程、奋进新时代的精气神，推动我们从胜利走向新的胜利。→可联系中国共产党代表先进文化的前进方向，精神谱系有利于增强精神力量知识；</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关键词③：弘扬以伟大建党精神为源头的中国共产党人精神谱系，用好红色资源，深入开展社会主义核心价值观宣传教育→可联系有利于弘扬社会主义核心价值观知识；</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18．①江苏省努力建设统一开放、竞争有序的市场体系，优化了营商环境，提高了资源配置效率和公平性，推动了经济高质量发展。②江苏省贯彻了创新发展理念，努力建设创新引领、协调发展的产业体系，推动人工智能与实体经济深度融合，不断提高创新在实体经济发展中的贡献份额，培育经济发展新动能；推动强链补链行动，大力发展实体经济，筑牢了现代化经济体系的根基。③江苏省贯彻绿色发展理念，转变经济发展方式，降低高耗能行业比重，大力发展战略性新兴产业和高科技产业，促进产业优化组合。④江苏省鼓励支持引导非公有制经济发展，使之在推动经济社会发展、国际市场的开拓等方面发挥重要作用，推动了经济高质量发展。</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【分析】</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关键词①：江苏省破除各类卡点堵点，着力打造市场化、法治化和国际化一流营商环境，让越来越多的企业、人才、资本选择江苏、扎根江苏→可联系建设统一开放、竞争有序的市场体系知识；</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②：江苏注重在投入领域上有效引导，持续推动强链补链行动计划，大力发展战略性新兴产业和现代服务业，战略性新兴产业，，高新技术产业，以智能制造为主攻方向，对5万多家规模以上制造业企业进行了智能化、数字化改造→可联系贯彻新发展理念，大力发展实体经济，转变经济发展方式知识；</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关键词③：2021年江苏民营经济对全省GDP增长贡献率达63.1</w:t>
      </w:r>
      <w:r>
        <w:rPr>
          <w:rFonts w:hint="eastAsia" w:ascii="宋体" w:hAnsi="宋体" w:eastAsia="宋体" w:cs="宋体"/>
        </w:rPr>
        <w:drawing>
          <wp:inline distT="0" distB="0" distL="114300" distR="114300">
            <wp:extent cx="66675" cy="85725"/>
            <wp:effectExtent l="0" t="0" r="0" b="0"/>
            <wp:docPr id="1460242680" name="图片 146024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42680" name="图片 1460242680"/>
                    <pic:cNvPicPr>
                      <a:picLocks noChangeAspect="1"/>
                    </pic:cNvPicPr>
                  </pic:nvPicPr>
                  <pic:blipFill>
                    <a:blip r:embed="rId11"/>
                    <a:stretch>
                      <a:fillRect/>
                    </a:stretch>
                  </pic:blipFill>
                  <pic:spPr>
                    <a:xfrm>
                      <a:off x="0" y="0"/>
                      <a:ext cx="66675" cy="85725"/>
                    </a:xfrm>
                    <a:prstGeom prst="rect">
                      <a:avLst/>
                    </a:prstGeom>
                  </pic:spPr>
                </pic:pic>
              </a:graphicData>
            </a:graphic>
          </wp:inline>
        </w:drawing>
      </w:r>
      <w:r>
        <w:rPr>
          <w:rFonts w:hint="eastAsia" w:ascii="宋体" w:hAnsi="宋体" w:eastAsia="宋体" w:cs="宋体"/>
        </w:rPr>
        <w:t>，民营企业出口占全省出口比重达44.2</w:t>
      </w:r>
      <w:r>
        <w:rPr>
          <w:rFonts w:hint="eastAsia" w:ascii="宋体" w:hAnsi="宋体" w:eastAsia="宋体" w:cs="宋体"/>
        </w:rPr>
        <w:drawing>
          <wp:inline distT="0" distB="0" distL="114300" distR="114300">
            <wp:extent cx="66675" cy="85725"/>
            <wp:effectExtent l="0" t="0" r="0" b="0"/>
            <wp:docPr id="283531915" name="图片 28353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31915" name="图片 283531915"/>
                    <pic:cNvPicPr>
                      <a:picLocks noChangeAspect="1"/>
                    </pic:cNvPicPr>
                  </pic:nvPicPr>
                  <pic:blipFill>
                    <a:blip r:embed="rId11"/>
                    <a:stretch>
                      <a:fillRect/>
                    </a:stretch>
                  </pic:blipFill>
                  <pic:spPr>
                    <a:xfrm>
                      <a:off x="0" y="0"/>
                      <a:ext cx="66675" cy="85725"/>
                    </a:xfrm>
                    <a:prstGeom prst="rect">
                      <a:avLst/>
                    </a:prstGeom>
                  </pic:spPr>
                </pic:pic>
              </a:graphicData>
            </a:graphic>
          </wp:inline>
        </w:drawing>
      </w:r>
      <w:r>
        <w:rPr>
          <w:rFonts w:hint="eastAsia" w:ascii="宋体" w:hAnsi="宋体" w:eastAsia="宋体" w:cs="宋体"/>
        </w:rPr>
        <w:t>→可联系促进民营企业知识；</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19．(1)2015年—2020年我国铁矿石进口量总体不断增加，2021年有所下降；2015年—2018年我国铁矿石原矿产量下降，之后稳中有升；2017年以来铁矿石对外依存度总体呈下降趋势，但依然较高，我国经济发展依然存在较大风险。</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(2)①保障初级产品的供给既要发挥市场的决定作用，又要更好发挥政府作用。政府通过实施产业政策，加强市场监管，加快退出落后钢铁产能，促进钢铁行业转型升级和高质量发展，维护我国钢铁行业产业链、供应链安全，保障我国资源安全。</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②深入参与经济全球化，更好利用国际国内两个市场、两种资源。实施初级产品进口多元化战略，降低依赖单一市场的风险。</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③不断提升我国铁矿石自主保障能力，坚持自力更生的原则，实施创新驱动发展战略，发展先进开采和利用技术，加强国内初级产品的勘探、开采，推进绿色生产，提高资源利用率。</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【分析】背景材料：我国铁矿石原矿产量、进口量、对外依存度情况和国家发布政策通知做好铁矿石等大宗商品价格监测预警</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考点考查：市场调节、宏观调控、经济全球化、全面提高开放型经济水平、推动经济高质量发展</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能力考查：调动和运用知识、描述和阐释事物</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核心素养：政治认同、科学精神、公共参与</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【详解】</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（1）关键词①：根据图表“2015年-2021年我国铁矿石原矿进口量情况”→可知铁矿石进口量总体不断增加；</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关键词②：根据图表“2015年-2021年我国铁矿石原矿产量”→可知2015年至2018年铁矿石原矿产量下降，之后稳中有升；</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关键词③：根据图表“2015年-2021年我国铁矿石对外依存度情况”+小注→可知我国铁矿石对外依存度总体呈下降趋势，但仍然较高，表明我国经济发展依然存在较大风险。</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2）关键词①：我国铁矿储量居世界前列，但人均资源量仅为世界平均水平的25，且存在品位不高、利用率较低等问题。同时也是最大的钢材出口国且大多数是初级产品，对铁矿石等原材料有着巨大需求→可联系有效市场与有为政府的结合。</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②：我国已成为全球最大的铁矿石进口国且进口来源国较为集中，+2022年，受新冠肺炎疫情、主要经济体货币政策转向等多重因素共同影响，国际大宗商品价格形势更加严峻复杂和不确定→可联系深入参与经济全球化。</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关键词③：国家发改委等12部门联合发布政策通知，做好铁矿石等大宗商品价格监测预警，支持企业投资开发铁矿等国内具备资源条件、符合要求的矿产开发项目→可联系坚持自力更生的原则，实施创新驱动发展战略，提高资源利用率。</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20．①该省坚持对外开放，通过转移钢铁、水泥等富余产能，促进了国际产能合作，创新了对外投资方式；②该省实施“引进来”和“走出去”并重战略，大力引进外资，同时集中突破对外投资项目；③该省发展新型服务贸易，扩大了服务业对外开放，同时通过下放外资审批权限、健全外商企业投诉机制实施了投资自由化便利化政策，保护了外商投资的合法权益。④该省扩大优势产业贸易，形成以技术、品牌、质量等为核心的出口竞争新优势，同时打造千亿产业群，实现了对外经济发展方式的转变，推动开放朝着优化结构、提高效益方向转变。</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【分析】</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①材料信息：钢铁、水泥、化工等行业存在富余产能，借“一带一路”建设之势，该省力争3年内实现产能转移。概括分析：该省坚持对外开放，促进国际产能合作，创新了对外投资方式。</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②材料信息：集中突破20个对外投资项目，对沿线国家的优势产业贸易从200亿美元扩至300亿美元；大力引进外资，概括分析：该省实施“引进来”和“走出去”并重战略，大力引进外资，同时集中突破对外投资项目。</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③材料信息：着力提高产品质量和技术水平，培育信息服务、跨境电子商务、服务外包等新型服务贸易。通过“放管服”下放外资对于高科技产业投资的审批权限，建立健全外商投资企业投诉工作机制，使贸易更加便利、自由。概括分析：该省发展新型服务贸易，扩大了服务业对外开放，同时通过下放外资审批权限、健全外商企业投诉机制实施了投资自由化便利化政策，保护了外商投资的合法权益。</w:t>
      </w:r>
    </w:p>
    <w:p>
      <w:pPr>
        <w:keepNext w:val="0"/>
        <w:keepLines w:val="0"/>
        <w:pageBreakBefore w:val="0"/>
        <w:widowControl w:val="0"/>
        <w:shd w:val="clear" w:color="auto" w:fill="auto"/>
        <w:kinsoku/>
        <w:wordWrap/>
        <w:overflowPunct/>
        <w:topLinePunct w:val="0"/>
        <w:autoSpaceDE/>
        <w:autoSpaceDN/>
        <w:bidi w:val="0"/>
        <w:adjustRightInd/>
        <w:snapToGrid/>
        <w:spacing w:line="264" w:lineRule="auto"/>
        <w:jc w:val="left"/>
        <w:textAlignment w:val="auto"/>
        <w:rPr>
          <w:rFonts w:hint="eastAsia" w:ascii="宋体" w:hAnsi="宋体" w:eastAsia="宋体" w:cs="宋体"/>
        </w:rPr>
      </w:pPr>
      <w:r>
        <w:rPr>
          <w:rFonts w:hint="eastAsia" w:ascii="宋体" w:hAnsi="宋体" w:eastAsia="宋体" w:cs="宋体"/>
        </w:rPr>
        <w:t>④材料信息：电力设备、服装纺织、农机农资等产业基础较好、具有特色，打造一批新的千亿产业集群，提升外资的利用水平和质量。概括分析：该省扩大优势产业贸易，形成以技术、品牌、质量等为核心的出口竞争新优势，同时打造千亿产业群，实现了对外经济发展方式的转变，推动开放朝着优化结构、提高效益方向转变。</w:t>
      </w:r>
    </w:p>
    <w:p>
      <w:pPr>
        <w:shd w:val="clear" w:color="auto" w:fill="auto"/>
        <w:spacing w:line="360" w:lineRule="auto"/>
        <w:jc w:val="left"/>
      </w:pPr>
    </w:p>
    <w:sectPr>
      <w:footerReference r:id="rId5" w:type="default"/>
      <w:footerReference r:id="rId6" w:type="even"/>
      <w:pgSz w:w="11906" w:h="16838"/>
      <w:pgMar w:top="1020" w:right="1134" w:bottom="1020" w:left="1134" w:header="851" w:footer="39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6B16C5"/>
    <w:rsid w:val="00776133"/>
    <w:rsid w:val="008C07DE"/>
    <w:rsid w:val="00A30CCE"/>
    <w:rsid w:val="00AC3E9C"/>
    <w:rsid w:val="00BC4F14"/>
    <w:rsid w:val="00BF535F"/>
    <w:rsid w:val="00C806B0"/>
    <w:rsid w:val="00E476EE"/>
    <w:rsid w:val="00EF035E"/>
    <w:rsid w:val="1EB25197"/>
    <w:rsid w:val="2C155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曹淑莹</cp:lastModifiedBy>
  <dcterms:modified xsi:type="dcterms:W3CDTF">2022-12-21T14:18:13Z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2052-11.1.0.11294</vt:lpwstr>
  </property>
  <property fmtid="{D5CDD505-2E9C-101B-9397-08002B2CF9AE}" pid="4" name="ICV">
    <vt:lpwstr>2448ECE6D4344948A95C99966822A33E</vt:lpwstr>
  </property>
</Properties>
</file>