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hint="eastAsia" w:ascii="黑体" w:hAnsi="黑体" w:eastAsia="黑体" w:cs="黑体"/>
          <w:b/>
          <w:sz w:val="30"/>
          <w:lang w:val="en-US" w:eastAsia="zh-CN"/>
        </w:rPr>
      </w:pPr>
      <w:r>
        <w:rPr>
          <w:rFonts w:ascii="黑体" w:hAnsi="黑体" w:eastAsia="黑体" w:cs="黑体"/>
          <w:b/>
          <w:sz w:val="30"/>
        </w:rPr>
        <w:t>江苏省</w:t>
      </w:r>
      <w:r>
        <w:rPr>
          <w:rFonts w:hint="eastAsia" w:ascii="黑体" w:hAnsi="黑体" w:eastAsia="黑体" w:cs="黑体"/>
          <w:b/>
          <w:sz w:val="30"/>
          <w:lang w:val="en-US" w:eastAsia="zh-CN"/>
        </w:rPr>
        <w:t>仪征中学</w:t>
      </w:r>
      <w:r>
        <w:rPr>
          <w:rFonts w:ascii="黑体" w:hAnsi="黑体" w:eastAsia="黑体" w:cs="黑体"/>
          <w:b/>
          <w:sz w:val="30"/>
        </w:rPr>
        <w:t>2022-2023学年高三</w:t>
      </w:r>
      <w:r>
        <w:rPr>
          <w:rFonts w:hint="eastAsia" w:ascii="黑体" w:hAnsi="黑体" w:eastAsia="黑体" w:cs="黑体"/>
          <w:b/>
          <w:sz w:val="30"/>
          <w:lang w:val="en-US" w:eastAsia="zh-CN"/>
        </w:rPr>
        <w:t>12月综合练习二</w:t>
      </w:r>
    </w:p>
    <w:p>
      <w:pPr>
        <w:shd w:val="clear" w:color="auto" w:fill="auto"/>
        <w:jc w:val="center"/>
        <w:rPr>
          <w:rFonts w:hint="eastAsia" w:ascii="楷体" w:hAnsi="楷体" w:eastAsia="楷体" w:cs="楷体"/>
          <w:b w:val="0"/>
          <w:sz w:val="21"/>
          <w:lang w:val="en-US" w:eastAsia="zh-CN"/>
        </w:rPr>
      </w:pPr>
      <w:r>
        <w:rPr>
          <w:rFonts w:hint="eastAsia" w:ascii="楷体" w:hAnsi="楷体" w:eastAsia="楷体" w:cs="楷体"/>
          <w:b w:val="0"/>
          <w:sz w:val="21"/>
          <w:lang w:val="en-US" w:eastAsia="zh-CN"/>
        </w:rPr>
        <w:t>研制人：马楠   审核人：曹淑莹</w:t>
      </w:r>
    </w:p>
    <w:p>
      <w:pPr>
        <w:shd w:val="clear" w:color="auto" w:fill="auto"/>
        <w:jc w:val="left"/>
        <w:rPr>
          <w:rFonts w:ascii="宋体" w:hAnsi="宋体" w:eastAsia="宋体" w:cs="宋体"/>
          <w:b/>
          <w:sz w:val="21"/>
        </w:rPr>
      </w:pPr>
      <w:r>
        <w:rPr>
          <w:rFonts w:hint="eastAsia" w:ascii="楷体" w:hAnsi="楷体" w:eastAsia="楷体" w:cs="楷体"/>
          <w:b w:val="0"/>
          <w:sz w:val="21"/>
          <w:lang w:val="en-US" w:eastAsia="zh-CN"/>
        </w:rPr>
        <w:t>班级</w:t>
      </w:r>
      <w:r>
        <w:rPr>
          <w:rFonts w:hint="eastAsia" w:ascii="楷体" w:hAnsi="楷体" w:eastAsia="楷体" w:cs="楷体"/>
          <w:b w:val="0"/>
          <w:sz w:val="21"/>
          <w:lang w:eastAsia="zh-CN"/>
        </w:rPr>
        <w:t>：</w:t>
      </w:r>
      <w:r>
        <w:rPr>
          <w:rFonts w:hint="eastAsia" w:ascii="楷体" w:hAnsi="楷体" w:eastAsia="楷体" w:cs="楷体"/>
          <w:b w:val="0"/>
          <w:sz w:val="21"/>
          <w:u w:val="none"/>
        </w:rPr>
        <w:t>__________</w:t>
      </w:r>
      <w:r>
        <w:rPr>
          <w:rFonts w:hint="eastAsia" w:ascii="楷体" w:hAnsi="楷体" w:eastAsia="楷体" w:cs="楷体"/>
          <w:b w:val="0"/>
          <w:sz w:val="21"/>
          <w:u w:val="single"/>
          <w:lang w:val="en-US" w:eastAsia="zh-CN"/>
        </w:rPr>
        <w:t xml:space="preserve"> </w:t>
      </w:r>
      <w:r>
        <w:rPr>
          <w:rFonts w:hint="eastAsia" w:ascii="楷体" w:hAnsi="楷体" w:eastAsia="楷体" w:cs="楷体"/>
          <w:b w:val="0"/>
          <w:sz w:val="21"/>
          <w:lang w:val="en-US" w:eastAsia="zh-CN"/>
        </w:rPr>
        <w:t xml:space="preserve"> </w:t>
      </w:r>
      <w:r>
        <w:rPr>
          <w:rFonts w:hint="eastAsia" w:ascii="楷体" w:hAnsi="楷体" w:eastAsia="楷体" w:cs="楷体"/>
          <w:b w:val="0"/>
          <w:sz w:val="21"/>
        </w:rPr>
        <w:t>姓名：</w:t>
      </w:r>
      <w:r>
        <w:rPr>
          <w:rFonts w:hint="eastAsia" w:ascii="楷体" w:hAnsi="楷体" w:eastAsia="楷体" w:cs="楷体"/>
          <w:b w:val="0"/>
          <w:sz w:val="21"/>
          <w:u w:val="none"/>
        </w:rPr>
        <w:t>_________</w:t>
      </w:r>
      <w:r>
        <w:rPr>
          <w:rFonts w:hint="eastAsia" w:ascii="楷体" w:hAnsi="楷体" w:eastAsia="楷体" w:cs="楷体"/>
          <w:b w:val="0"/>
          <w:sz w:val="21"/>
          <w:u w:val="none"/>
          <w:lang w:val="en-US" w:eastAsia="zh-CN"/>
        </w:rPr>
        <w:t xml:space="preserve"> </w:t>
      </w:r>
      <w:r>
        <w:rPr>
          <w:rFonts w:hint="eastAsia" w:ascii="楷体" w:hAnsi="楷体" w:eastAsia="楷体" w:cs="楷体"/>
          <w:b w:val="0"/>
          <w:sz w:val="21"/>
          <w:lang w:val="en-US" w:eastAsia="zh-CN"/>
        </w:rPr>
        <w:t>学号</w:t>
      </w:r>
      <w:r>
        <w:rPr>
          <w:rFonts w:hint="eastAsia" w:ascii="楷体" w:hAnsi="楷体" w:eastAsia="楷体" w:cs="楷体"/>
          <w:b w:val="0"/>
          <w:sz w:val="21"/>
        </w:rPr>
        <w:t>：</w:t>
      </w:r>
      <w:r>
        <w:rPr>
          <w:rFonts w:hint="eastAsia" w:ascii="楷体" w:hAnsi="楷体" w:eastAsia="楷体" w:cs="楷体"/>
          <w:b w:val="0"/>
          <w:sz w:val="21"/>
          <w:u w:val="none"/>
        </w:rPr>
        <w:t>______</w:t>
      </w:r>
      <w:r>
        <w:rPr>
          <w:rFonts w:hint="eastAsia" w:ascii="楷体" w:hAnsi="楷体" w:eastAsia="楷体" w:cs="楷体"/>
          <w:b w:val="0"/>
          <w:sz w:val="21"/>
          <w:u w:val="none"/>
          <w:lang w:val="en-US" w:eastAsia="zh-CN"/>
        </w:rPr>
        <w:t xml:space="preserve"> </w:t>
      </w:r>
      <w:r>
        <w:rPr>
          <w:rFonts w:hint="eastAsia" w:ascii="楷体" w:hAnsi="楷体" w:eastAsia="楷体" w:cs="楷体"/>
          <w:b w:val="0"/>
          <w:sz w:val="21"/>
          <w:lang w:val="en-US" w:eastAsia="zh-CN"/>
        </w:rPr>
        <w:t xml:space="preserve"> 时间</w:t>
      </w:r>
      <w:r>
        <w:rPr>
          <w:rFonts w:hint="eastAsia" w:ascii="楷体" w:hAnsi="楷体" w:eastAsia="楷体" w:cs="楷体"/>
          <w:b w:val="0"/>
          <w:sz w:val="21"/>
        </w:rPr>
        <w:t>：</w:t>
      </w:r>
      <w:r>
        <w:rPr>
          <w:rFonts w:hint="eastAsia" w:ascii="楷体" w:hAnsi="楷体" w:eastAsia="楷体" w:cs="楷体"/>
          <w:b w:val="0"/>
          <w:sz w:val="21"/>
          <w:u w:val="single"/>
          <w:lang w:val="en-US" w:eastAsia="zh-CN"/>
        </w:rPr>
        <w:t>40分钟+40分钟</w:t>
      </w:r>
      <w:r>
        <w:rPr>
          <w:rFonts w:hint="eastAsia" w:ascii="楷体" w:hAnsi="楷体" w:eastAsia="楷体" w:cs="楷体"/>
          <w:b w:val="0"/>
          <w:sz w:val="21"/>
          <w:lang w:val="en-US" w:eastAsia="zh-CN"/>
        </w:rPr>
        <w:t xml:space="preserve">   练习日期：</w:t>
      </w:r>
      <w:r>
        <w:rPr>
          <w:rFonts w:hint="eastAsia" w:ascii="楷体" w:hAnsi="楷体" w:eastAsia="楷体" w:cs="楷体"/>
          <w:b w:val="0"/>
          <w:sz w:val="21"/>
          <w:u w:val="single"/>
          <w:lang w:val="en-US" w:eastAsia="zh-CN"/>
        </w:rPr>
        <w:t>12.29-12.3</w:t>
      </w:r>
      <w:r>
        <w:rPr>
          <w:rFonts w:hint="eastAsia" w:ascii="楷体" w:hAnsi="楷体" w:eastAsia="楷体" w:cs="楷体"/>
          <w:b w:val="0"/>
          <w:sz w:val="21"/>
          <w:u w:val="none"/>
          <w:lang w:val="en-US" w:eastAsia="zh-CN"/>
        </w:rPr>
        <w:t>0</w:t>
      </w: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2" w:firstLineChars="200"/>
        <w:jc w:val="left"/>
        <w:textAlignment w:val="auto"/>
        <w:rPr>
          <w:rFonts w:hint="eastAsia" w:ascii="宋体" w:hAnsi="宋体" w:eastAsia="宋体" w:cs="宋体"/>
          <w:b/>
          <w:sz w:val="21"/>
        </w:rPr>
      </w:pPr>
      <w:r>
        <w:rPr>
          <w:rFonts w:hint="eastAsia" w:ascii="宋体" w:hAnsi="宋体" w:eastAsia="宋体" w:cs="宋体"/>
          <w:b/>
          <w:sz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1．多样性是人类文明的魅力所在，更是世界发展的活力和动力之源。文明没有高下、优劣之分，只有特色、地域之别，只有在交流中才能融合，在融合中才能进步。下列名句与材料所蕴含的哲理一致的是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A．青山一道同云雨，明月何曾是两乡</w:t>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B．万物各得其和以生，各得其养以成</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C．大鹏一日同风起，扶摇直上九万里</w:t>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D．非尽百家之美，则不能成一人之奇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2．乡村振兴，关键在人。近年来，河南温县招贤乡在实施乡村振兴战略中，紧紧围绕¨乡风文明”，认真梳理“文化特点”，积极反思“历程规律”，不断激活“乡贤文化”，通过颂传“昔贤”、引进“今贤”、培育“新贤”，以党建引领振兴乡贤文化，以其嘉言懿行垂范乡里，以文明新风助力乡村振兴。这表明</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①社会实践是文化创新不尽的源泉和不竭动力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②乡贤文化在当前的乡村社会治理中起决定作用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③要推动乡村振兴，必须发挥好乡贤文化的引领作用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④乡贤文化需要与时俱进，与乡村精神文明建设相适应</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B．②④</w:t>
      </w:r>
      <w:r>
        <w:rPr>
          <w:rFonts w:hint="eastAsia" w:ascii="宋体" w:hAnsi="宋体" w:eastAsia="宋体" w:cs="宋体"/>
        </w:rPr>
        <w:tab/>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3．近两年“国潮”文化兴起，年轻人越来越热爱“国潮”文化，衣食住行都有国潮元素的影子。“国潮”的核心底蕴是国，表现形式是潮，是结合当下新人群、新需求、新技术、新场景后产生的新事物、新的展现方式。“国潮”文化的流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①是建立在与其他文明比较之后的自觉自信之上</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②说明传统文化与现代经济融合才能体现其价值</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③助力中华文化传承，增强对自身文化的认同感</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④映射了传统文化是民族之基，应该回归传统文化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C．①③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4．党的十八大以来，习近平总书记发表的系列重要讲话，蕴含了一系列治国理政的科学思维。下列体现同一种思维方法的是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①不能简单以GDP论英雄，必须推动经济高质量发展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②五大发展理念是具有内在联系的集合体，要统一贯彻，不能相互替代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③全球治理体制机制改革并不是推倒重来，也不是另起炉灶，而是创新完善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④抓作风，要有足够的力量和长期的作为，坚持稳扎稳打、步步为营、久久为功</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C．①③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5．人们知道磁铁吸引铁屑、有电流的导线会使磁铁发生偏转现象。法拉第从这些现象中发现了电磁感应定律，麦克斯韦的研究使电磁理论更加系统。在电磁理论的基础上，人们制造出发电机、无线电发射机等。上述材料说明在认识发展的过程中</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①需要以感性具体作为思维的起点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②通过思维抽象能够把握认识对象整体的本质和规律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③感性具体、思维抽象、思维具体是相互依赖、不可分割的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④要经历从感性具体到思维抽象、再从思维抽象到思维具体两个过程</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6．在二〇二二年新年贺词中，习近平总书记为我们干事创业指明了方法路径，要求我们“致广大而尽精微”；“干事业做工作……要做到谋划时统揽大局、操作中细致精当。”这告诉我们干事创业</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①要“致广大”，整体性地思考问题，制定远大的目标规划</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②要“尽精微”，立足关键部分，把远大目标规划落实落细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③要统筹兼顾“致广大”和“尽精微”，坚持分析与综合的方法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④要遵循质量互变规律，“尽精微”，积微成著，防止过犹不及</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7．马克思、恩格斯指出，“无产阶级的运动是绝大多数人的、为绝大多数人谋利益的独立的运动”，在未来社会“生产将以所有的人富裕为目的”。社会主义制度以生产资料公有制和按劳分配为基本特征，社会主义制度下的社会再生产活动以全体社会成员充分参与的高水平社会化大生产为路径，以不断满足全体人民日益增长的美好生活需要为目标。材料中</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①对“无产阶级的运动”的描述，阐明了实现共同富裕的深层次原因</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②对“目的”的描述，揭示了社会主义的本质要求和无产阶级最终奋斗目标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③对“基本特征”的描述，说明共同富裕的实现离不开经济的高质量发展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④对“路径”的描述，体现了生产力决定生产关系这一马克思主义基本原理</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8．2022年5月26日，人社部、财政部发布《关于2022年调整退休人员基本养老金的通知》，明确从2022年1月1日起，调整企业和机关事业单位退休人员基本养老金水平（上涨4%），退休人员基本养老金迎来18连涨。我国养老金水平的不断提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①表明我国坚持社会保障水平与经济社会发展相适应</w:t>
      </w:r>
      <w:r>
        <w:rPr>
          <w:rFonts w:hint="eastAsia" w:ascii="宋体" w:hAnsi="宋体" w:eastAsia="宋体" w:cs="宋体"/>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②为保障退休人员的生活安全筑牢了“最后一道防线”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③体现了社会主义的本质，提高了退休人员的福利水平</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④有利于增强退休人员的获得感、幸福感、安全感</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9．产业数字化是指在新一代数字科技支撑和引领下，以数据赋能为主线，对产业链上下游的全要素数字化升级、转型和再造的过程。截止2021年8月，我国累计建成5G基站数达103.7万个，建成了全球最大规模的5G网络，助力产业数字化。产业数字化的发展为我国制造业的健康发展提供强劲动力，产业数字化传导路径正确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A．提升生产的自动化、智能化水平→提高经济效益→增强市场竞争力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B．降低产品研发和制造成本→实现精细化营销、个性化服务→催生盈利商业模式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C．驱动精准触达客户需求→提升产业价值链、供应链→占领市场制高点</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D．产业分工精细化、协同化、平台化→扩大经济规模→全新产业生态体系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10．中央经济工作会议明确2022年积极的财政政策取向不变，进一步优化财政支出结构，落实过‘紧日子’要求，同时加强对基本民生、对重点领域、对地方特别是基层的财力保障。下列能说明2022年我国财政政策传导路径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①适度提高财政赤字率→扩大国债发行规模→投资增加→刺激经济增长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②加大民生支出力度→稳定社会预期→消费需求增加→拉动经济增长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③降低存贷款利率→企业融资成本降低→投资、消费需求增加→拉动经济增长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④下调增值税起征点→企业税负增加→增加研发投入→优化供给结构</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A．①④</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D．①②</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11．近日，京津冀“3+N”联盟推动冠脉扩张球囊类医用耗材带量联动采购，本次集中带量采购的冠脉扩张球囊，结构为快速交换型，延续了国家组织冠脉支架集中带量采购的成功经验，坚持带量采购、招采合一、确保使用的原则。经过本次集采，联盟地区冠脉扩张球囊价格从均价3401元下降至319元，与2020年相比，相同企业的相同产品平均降价90%，药品集中采购对降低药价生产的联动效应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①带量采购、招采合→企业明确生产预期→无效投资与供给减少→压缩价格虚高空间</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②完善采购规则→规范流通秩序→企业公平竞争→完善基本的医疗制度</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③确定质量标准→企业提质增效→改善医药环境→提高药品降价空间</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④带量采购、确保使用→减少企业销售公关→降低成本→复活低价药</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D．①④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12．甲乙两地相互毗邻，丙丁两地相互毗邻。同一时期，四地的经济发展调查数据如图所示：</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drawing>
          <wp:inline distT="0" distB="0" distL="114300" distR="114300">
            <wp:extent cx="5117465" cy="1590675"/>
            <wp:effectExtent l="0" t="0" r="6985"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5117465" cy="159067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注：互补产业是指不同地区之间产业要素的相互补偿和相互依赖的关系。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对图中信息分析合理的是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①与丙丁相比，甲乙两地之间的市场更加畅通，经济循环效率更高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②甲乙两地商品要素价格比较接近，说明两地具有相似的比较优势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③标准不一、流通不畅、市场分割等因素，可以解释丙丁的情况</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④随着统一市场的建设，各地的竞争将更加激烈，菜价与工资更趋差异化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13．波罗的海指数（BDI）是目前世界上衡量国际海运情况的权威指数，是反映国际间贸易情况的领先指数，该指数显著下降说明国际间的贸易不景气，下列选项中有可能引发BDI下降的有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①跨境电子商务的发展改变了传统贸易的形式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②跨国公司把国际贸易发展为跨国公司的内部贸易</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③部分国家对国际相关商品的需求下降</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④个别国家发生金融危机波及其他国家</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14．任何一个国家的资源都是有限的,要合理利用资源生产某种产品必然要放弃其他产品的生产,放弃的其他产品量就是生产该产品的机会成本。如果一国生产某种产品的机会成本低于另一个国家,那么,这个国家在生产这种产品时就有比较优势。下列关于甲国与乙国的说法正确的是</w:t>
      </w:r>
    </w:p>
    <w:tbl>
      <w:tblPr>
        <w:tblStyle w:val="4"/>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1305"/>
        <w:gridCol w:w="346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755" w:type="dxa"/>
            <w:gridSpan w:val="2"/>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p>
        </w:tc>
        <w:tc>
          <w:tcPr>
            <w:tcW w:w="3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生产一辆汽车</w:t>
            </w:r>
          </w:p>
        </w:tc>
        <w:tc>
          <w:tcPr>
            <w:tcW w:w="30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生产一吨粮食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5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甲国</w:t>
            </w:r>
          </w:p>
        </w:tc>
        <w:tc>
          <w:tcPr>
            <w:tcW w:w="1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需要时间</w:t>
            </w:r>
          </w:p>
        </w:tc>
        <w:tc>
          <w:tcPr>
            <w:tcW w:w="3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10 000小时</w:t>
            </w:r>
          </w:p>
        </w:tc>
        <w:tc>
          <w:tcPr>
            <w:tcW w:w="30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500小时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p>
        </w:tc>
        <w:tc>
          <w:tcPr>
            <w:tcW w:w="1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机会成本</w:t>
            </w:r>
          </w:p>
        </w:tc>
        <w:tc>
          <w:tcPr>
            <w:tcW w:w="3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生产20吨粮食</w:t>
            </w:r>
          </w:p>
        </w:tc>
        <w:tc>
          <w:tcPr>
            <w:tcW w:w="30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生产0.05辆汽车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5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乙国</w:t>
            </w:r>
          </w:p>
        </w:tc>
        <w:tc>
          <w:tcPr>
            <w:tcW w:w="1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需要时间</w:t>
            </w:r>
          </w:p>
        </w:tc>
        <w:tc>
          <w:tcPr>
            <w:tcW w:w="3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9 000小时</w:t>
            </w:r>
          </w:p>
        </w:tc>
        <w:tc>
          <w:tcPr>
            <w:tcW w:w="30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300小时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p>
        </w:tc>
        <w:tc>
          <w:tcPr>
            <w:tcW w:w="1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机会成本</w:t>
            </w:r>
          </w:p>
        </w:tc>
        <w:tc>
          <w:tcPr>
            <w:tcW w:w="3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生产30吨粮食</w:t>
            </w:r>
          </w:p>
        </w:tc>
        <w:tc>
          <w:tcPr>
            <w:tcW w:w="30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生产0.033辆汽车</w:t>
            </w:r>
          </w:p>
        </w:tc>
      </w:tr>
    </w:tbl>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①甲国的比较优势是生产汽车</w:t>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②乙国的比较优势是生产汽车</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③乙国的比较优势是生产粮食</w:t>
      </w:r>
      <w:r>
        <w:rPr>
          <w:rFonts w:hint="eastAsia" w:ascii="宋体" w:hAnsi="宋体" w:cs="宋体"/>
          <w:lang w:val="en-US" w:eastAsia="zh-CN"/>
        </w:rPr>
        <w:tab/>
      </w:r>
      <w:r>
        <w:rPr>
          <w:rFonts w:hint="eastAsia" w:ascii="宋体" w:hAnsi="宋体" w:cs="宋体"/>
          <w:lang w:val="en-US" w:eastAsia="zh-CN"/>
        </w:rPr>
        <w:tab/>
      </w:r>
      <w:r>
        <w:rPr>
          <w:rFonts w:hint="eastAsia" w:ascii="宋体" w:hAnsi="宋体" w:cs="宋体"/>
          <w:lang w:val="en-US" w:eastAsia="zh-CN"/>
        </w:rPr>
        <w:tab/>
      </w:r>
      <w:r>
        <w:rPr>
          <w:rFonts w:hint="eastAsia" w:ascii="宋体" w:hAnsi="宋体" w:eastAsia="宋体" w:cs="宋体"/>
        </w:rPr>
        <w:t>④甲国的比较优势是生产粮食</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15．“世界开放指数”测度的是各个国家和地区的跨境经济开放以及同经济开放直接、密切相关的跨境社会开放和文化开放，包括开放政策和开放绩效，形成可统计测算的 29项具体量化指标。有关研究表明，10年来"世界开放指数"不断下滑，全球开放共识弱化。提高"世界开放指数"势在必行，为此要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①建设开放型世界经济，拓展各国发展空间</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②建设创新型世界经济，凝聚各国互动合力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③建设联动型世界经济，消除意识形态差别</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④建设包容型世界经济，夯实互利共赢基础</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2" w:firstLineChars="200"/>
        <w:jc w:val="left"/>
        <w:textAlignment w:val="auto"/>
        <w:rPr>
          <w:rFonts w:ascii="宋体" w:hAnsi="宋体" w:eastAsia="宋体" w:cs="宋体"/>
          <w:b/>
          <w:sz w:val="21"/>
        </w:rPr>
      </w:pPr>
      <w:r>
        <w:rPr>
          <w:rFonts w:ascii="宋体" w:hAnsi="宋体" w:eastAsia="宋体" w:cs="宋体"/>
          <w:b/>
          <w:sz w:val="21"/>
        </w:rPr>
        <w:t>二、材料分析题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r>
        <w:t>16．阅读材料，完成下列要求。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目前，我国数据中心大多分布在东部地区，但由于东部地区土地、能源等资源日趋紧张，且人工成本较高，难以为继。中西部地区煤炭资源尤其是水能、风能等可再生资源丰富，电力供应充足，且人工费用偏低，加上西北地区温湿度对于敏感的电子设备而言是最为理想的运行环境，这给西部地区的发展开辟了一条新道路。“东数西算”工程是国家重大工程，是经中央部门多方论证、综合考虑我国现在资源、产业分布作出的重大决策。2022年2月17日，“东数西算”工程正式全面启动，通过全国一体化的数据中心布局建设，扩大算力设施规模，加快推动算力建设，将有效加速数字产业化和产业数字化进程，催生新技术、新产业、新业态、新模式，支撑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运用辩证思维的相关知识，分析“东数西算”工程的合理性。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17．</w:t>
      </w:r>
      <w:r>
        <w:rPr>
          <w:rFonts w:ascii="楷体" w:hAnsi="楷体" w:eastAsia="楷体" w:cs="楷体"/>
        </w:rPr>
        <w:t>铭记奋斗历程汲取前行力量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在中国共产党一百年的非凡历程中，一代又一代中国共产党人顽强拼搏自我革新，不断积淀形成了井冈山精神、长征精神、遵义会议精神、红岩精神、抗美援朝精神、"两弹一星"精神、特区精神、抗疫精神等伟大精神，构筑起了中国共产党人的精神谱系。这些宝责精神财富凝聚着中国共产党人艰苦奋斗、牺牲奉献、自我革命的伟大品格，跨越时空、历久弥新，深深融入我们党、国家、民族、人民的血脉中，凝聚成浩瀚磅磷之力，激励中国人民鼓起迈向新征程、奋进新时代的精气神，推动我们从胜利走向新的胜利。习近平总书记二十大报告指出，弘扬以伟大建党精神为源头的中国共产党人精神谱系，用好红色资源，深入开展社会主义核心价值观宣传教育。</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根据材料，从“发展中国特色社会主义文化”角度，分析加强中国共产党人精神谱系教育的时代价值。</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18．</w:t>
      </w:r>
      <w:r>
        <w:rPr>
          <w:rFonts w:ascii="楷体" w:hAnsi="楷体" w:eastAsia="楷体" w:cs="楷体"/>
        </w:rPr>
        <w:t>多措并举推进高质量发展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2021年，江苏GDP达到了11.64万亿元，超过了韩国。江苏省破除各类卡点堵点，着力打造市场化、法治化和国际化一流营商环境，让越来越多的企业、人才、资本选择江苏、扎根江苏。江苏注重在投入领域上有效引导，持续推动强链补链行动计划，大力发展战略性新兴产业和现代服务业，战略性新兴产业占规模以上工业比重接近40</w:t>
      </w:r>
      <w:r>
        <w:drawing>
          <wp:inline distT="0" distB="0" distL="114300" distR="114300">
            <wp:extent cx="66675" cy="952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，高新技术产业占规模以上工业的占比接近48</w:t>
      </w:r>
      <w:r>
        <w:drawing>
          <wp:inline distT="0" distB="0" distL="114300" distR="114300">
            <wp:extent cx="66675" cy="952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。以智能制造为主攻方向，对5万多家规模以上制造业企业进行了智能化、数字化改造。七大高耗能行业占规模以上工业比重由2012年的33.5</w:t>
      </w:r>
      <w:r>
        <w:drawing>
          <wp:inline distT="0" distB="0" distL="114300" distR="114300">
            <wp:extent cx="66675" cy="9525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下降到了去年的29.3</w:t>
      </w:r>
      <w:r>
        <w:drawing>
          <wp:inline distT="0" distB="0" distL="114300" distR="114300">
            <wp:extent cx="66675" cy="952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。打好政策“组合拳”，引导金融机构对高新技术企业、战略性新兴产业、关键软件和信息技术服务业中小微企业等给予信贷支持。2021年江苏民营经济对全省GDP增长贡献率达63.1</w:t>
      </w:r>
      <w:r>
        <w:drawing>
          <wp:inline distT="0" distB="0" distL="114300" distR="114300">
            <wp:extent cx="66675" cy="9525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，民营企业出口占全省出口比重达44.2</w:t>
      </w:r>
      <w:r>
        <w:drawing>
          <wp:inline distT="0" distB="0" distL="114300" distR="114300">
            <wp:extent cx="66675" cy="9525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结合材料，运用《经济与社会》知识，简要分析江苏经济高质量发展的原因。</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19．</w:t>
      </w:r>
      <w:r>
        <w:rPr>
          <w:rFonts w:ascii="楷体" w:hAnsi="楷体" w:eastAsia="楷体" w:cs="楷体"/>
        </w:rPr>
        <w:t>初级产品包括农产品、能源和矿产等，是整个经济最为基础的部分。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Times New Roman'" w:hAnsi="'Times New Roman'" w:eastAsia="'Times New Roman'" w:cs="'Times New Roman'"/>
        </w:rP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2015年—2021年我国铁矿石原矿产量、进口量、对外依存度情况</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drawing>
          <wp:inline distT="0" distB="0" distL="114300" distR="114300">
            <wp:extent cx="4281170" cy="2113280"/>
            <wp:effectExtent l="0" t="0" r="5080" b="127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0"/>
                    <a:stretch>
                      <a:fillRect/>
                    </a:stretch>
                  </pic:blipFill>
                  <pic:spPr>
                    <a:xfrm>
                      <a:off x="0" y="0"/>
                      <a:ext cx="4281170" cy="211328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(1)材料一反映了哪些经济信息？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楷体" w:hAnsi="楷体" w:eastAsia="楷体" w:cs="楷体"/>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初级产品是指未经加工或略做加工，有待进一步加工的产品，如铁矿石等。我国铁矿储量居世界前列，但人均资源量仅为世界平均水平的25</w:t>
      </w:r>
      <w:r>
        <w:drawing>
          <wp:inline distT="0" distB="0" distL="114300" distR="114300">
            <wp:extent cx="66675" cy="9525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且存在品位不高、利用率较低等问题。我国已成为全球最大的铁矿石进口国且进口来源国较为集中，同时也是最大的钢材出口国且大多数是初级产品，对铁矿石等原材料有着巨大需求。2021年，国际市场上铁矿石价格上涨，并不断向中下游传导，使原材料工业、加工业、消费品工业成本普遍上升。2022年，受新冠肺炎疫情、主要经济体货币政策转向等多重因素共同影响，国际大宗商品价格形势更加严峻复杂和不确定。2月，国家发改委等12部门联合发布政策通知，做好铁矿石等大宗商品价格监测预警，支持企业投资开发铁矿等国内具备资源条件、符合要求的矿产开发项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(2)结合材料一、二，运用《经济与社会》和《当代国际政治与经济》知识，就“如何保障初级产品的供给”提一份合理化建议。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r>
        <w:t>20．阅读材料，完成下列要求。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某省作为内陆省份，处于陆上丝绸之路和海上丝绸之路的交汇点，是一带一路建设的主干道。该省电力设备、服装纺织、农机农资等产业基础较好、具有特色，但钢铁、水泥、化工等行业存在富余产能，借“一带一路”建设之势，该省力争3年内实现产能转移，集中突破20个对外投资项目，对沿线国家的优势产业贸易从200亿美元扩至300亿美元；在轨道交通、航空航天、现代金融、现代物流等领域打造一批新的千亿产业集群，着力提高产品质量和技术水平，培育信息服务、跨境电子商务、服务外包等新型服务贸易；大力引进外资，通过“放管服”下放外资对于高科技产业投资的审批权限，建立健全外商投资企业投诉工作机制，使贸易更加便利、自由，提升外资的利用水平和质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结合材料，运用“发展更高层次的开放型经济”知识，分析该省是如何借“一带一路”建设之势，实现自身发展的？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sectPr>
          <w:footerReference r:id="rId3" w:type="default"/>
          <w:footerReference r:id="rId4" w:type="even"/>
          <w:pgSz w:w="11907" w:h="16839"/>
          <w:pgMar w:top="1020" w:right="1134" w:bottom="1020" w:left="1134" w:header="500" w:footer="500" w:gutter="0"/>
          <w:pgNumType w:fmt="decimal"/>
          <w:cols w:space="425" w:num="1" w:sep="1"/>
          <w:docGrid w:type="lines" w:linePitch="312"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center"/>
        <w:textAlignment w:val="auto"/>
        <w:rPr>
          <w:rFonts w:hint="eastAsia" w:ascii="宋体" w:hAnsi="宋体" w:eastAsia="宋体" w:cs="宋体"/>
          <w:b/>
          <w:sz w:val="21"/>
        </w:rPr>
      </w:pPr>
      <w:r>
        <w:rPr>
          <w:rFonts w:hint="eastAsia" w:ascii="宋体" w:hAnsi="宋体" w:eastAsia="宋体" w:cs="宋体"/>
          <w:b/>
          <w:sz w:val="21"/>
        </w:rPr>
        <w:t>参考答案：</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青山一道同云雨，明月何曾是两乡，意思是两地的青山同被云朵荫蔽、雨露润泽，同顶一轮明月又何曾身处两地呢？表达了对友人的思念之情，A观点不符合题意。B：万物各得其和以生，各得其养以成，意思是天下万物，各自得到各自的和气而生成，各自得到各自的滋养以成长，强调了人类应该尊重自然，B观点不符合题意。C：大鹏一日同风起，扶摇直上九万里，意思是大鹏总有一天会和风飞起，凭借风力直上九霄云外，强调说明志存高远，C观点不符合题意。D：非尽百家之美，则不能成一人之奇，意思是不能博采百家之长， 也就不能形成自家的新奇风格，强调了文化多样的重要性，D观点符合题意。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2．C</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④：在实施乡村振兴战略中，认真梳理“文化特点”，积极反思“历程规律”，不断激活“乡贤文化，体现了社会实践是文化创新不尽的源泉和不竭动力，乡贤文化需要与时俱进，与乡村精神文明建设相适应，①④符合题意。②：乡贤文化在当前的乡村社会治理中起决定作用说法错误，②说法错误。③：乡贤文化引领乡村振兴说法错误，③不符合题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3．C</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③：“国潮”的核心底蕴是国，表现形式是潮，是结合当下新人群、新需求、新技术、新场景后产生的新事物、新的展现方式，这是建立在与其他文明比较之后的自觉自信之上，能助力中华文化传承，增强对自身文化的认同感，故①③正确。②：传统文化与现代经济融合有助于实现其价值，但不是只有与现代经济融合才能体现其价值，该选项的说法太绝对，②排除。④：“应该回归传统文化”说法错误，传统文化有优秀和糟粕之分，④排除。</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4．C</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③：“不能简单以GDP论英雄，必须推动经济高质量发展”体现了对过去把GDP作为衡量经济发展水平的唯一指标的方法即肯定又否定，体现了辩证否定的思维；“全球治理体制机制改革并不是推倒重来，也不是另起炉灶，而是创新完善”，也体现了辩证否定的思维，二者体现了同一种思维方法。①③符合题意。②：“五大发展理念是具有内在联系的集合体，要统一贯彻，不能相互替代”把握了整体与局部的辩证关系，体现了分析与综合相结合的思维方法；②与题意不符。④：“抓作风，要有足够的力量和长期的作为，坚持稳扎稳打、步步为营、久久为功”体现了把握事物质量互变规律的思维，④与题意不符。</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5．B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人们知道磁铁吸引铁屑现象、有电流的导线会使磁铁发生偏转现象”说明科学的认识要求把感性的具体事实作为科学抽象的依据和前提，①正确。②：通过思维具体才能把握事物整体的本质和规律，②错误。③：法拉第从这些现象中发现了电磁感应定律等，在这些理论基础上进一步制造出发电机、无线电发射机等，这是一个从感性具体到思维抽象再到思维具体的认识上升过程，表明感性具体、思维抽象、思维具体是相互依赖、不可分割的，③正确。④：从感性具体到思维抽象、再从思维抽象到思维具体是同一过程的两个阶段，④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6．B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③：“干事业做工作……要做到谋划时统揽大局、操作中细致精当”，这告诉我们干事创业要“致广大”，整体性地思考问题，制定远大的目标规划，同时要统筹兼顾“致广大”和“尽精微”，坚持分析与综合的方法，①③符合题意。②：整体居于主导地位，整体统帅部分，所以要立足整体，部分影响整体，又要重视部分，要“尽精微”，把远大目标规划落实落细，②排除。④：要遵循质量互变规律，“尽精微”，积微成著，强调的是要重视量的积累，而不是防止过犹不及，④排除。</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7．B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无产阶级的运动是绝大多数人的、为绝大多数人谋利益的独立的运动”，体现无产阶级是为大多数人谋利益的，这也是实现共同富裕的深层次原因。①符合题意。②：在未来社会“生产将以所有的人富裕为目的”，说明社会主义要最终实现共同富裕，揭示了社会主义的本质要求，但没有体现社会主义的最终奋斗目标，最终奋斗目标是实现共产主义。②不符合题意。③：社会主义制度以生产资料公有制和按劳分配为基本特征，说明了我国的分配制度，没有体现经济的高质量发展。③排除。④：社会主义制度下的社会再生产活动以全体社会成员充分参与的高水平社会化大生产为路径，体现了生产力决定生产关系这一马克思主义基本原理。④符合题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8．B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④：我国养老金水平的不断提高，表明我国坚持社会保障水平与经济社会发展相适应，有利于增强退休人员的获得感、幸福感、安全感，①④正确。②：社会救助是保障社会成员生活安全和生存权利的“最后一道防线”，②错误。③：基本养老金属于社会保险而非社会福利，③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9．A</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产业数字化的发展为我国制造业的健康发展提供强劲动力，产业数字化有利于提升生产的自动化、智能化水平，从而提高经济效益，增强市场竞争力，故A正确。B：产业数字化是指在新一代数字科技支撑和引领下，以数据赋能为主线，对产业链上下游的全要素数字化升级、转型和再造的过程，并不能降低产品研发和制造成本，而可能会提高产品研发和制造成本，而且降低产品研发和制造成本与实现精细化营销、个性化服务无关，故B错误。C：驱动精准触达客户需求体现的是对消费的影响，而材料强调的是产业数字化的发展为我国制造业的健康发展提供强劲动力，故C不符合题意。D：扩大经济规模并不意味着会形成全新产业生态体系，故D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10．D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中央经济工作会议明确2022年积极的财政政策取向不变，可以通过适度提高财政赤字率，扩大国债发行规模，增加投资，进而起到刺激经济增长的目的，①正确。②：加强对基本民生、对重点领域、对地方特别是基层的财力保障，加大民生支出力度，稳定社会预期，从而刺激消费，进而拉动经济增长，②正确。③：题干要求的是财政政策，降低存贷款利率是货币政策，③不选。④：下调增值税起征点属于紧缩性财政政策，企业税负增加，不利于增加研发投入，不符合积极财政政策，④不选。</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11．D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药品集中采购，坚持带量采购、招采合一的原则，给药品生产企业明确的预期，有利于企业根据政府订单有针对性地调整产品结构、减少资源浪费，从而降低成本和价格，①符合题意。②：企业公平竞争与完善基本的医疗制度无关，②排除。③：改善医药环境与提高药品降价空间无直接联系，③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④：药品集中采购,通过带量采购、确保使用，企业不需要进行销售公关，既有降低虚高药价的作用，也将一批低价药“复活”后重新送到患者手中，④符合题意。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12．A</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互补产业是指不同地区之间产业要素的相互补偿和相互依赖的关系。丙丁两地的相同产业数量远高于甲乙，甲乙两地的互补产业数量远高于丙丁，这说明与丙丁相比，甲乙两地之间的市场更加畅通，经济循环效率更高，故①正确。②：比较优势指的是一个生产者以低于另一个生产者的机会成本生产一种物品的行为，图式显示不出来，故②排除。③：根据：丙丁两地商品的平均菜价和平均工资相差很多，而且丙丁两地的相同产业数量远高于甲乙，甲乙两地的互补产业数量远高于丙丁，可推断出：丙丁两地存在标准不一、流通不畅、市场分割等因素，故③正确。④：随着统一市场的建设，甲乙两地的竞争由于互补产业比较多，其竞争不会太激烈，甲乙两地的菜价和工资也不会更趋差异化，故④不选。</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13．D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跨境电子商务的发展，有利于促进国际贸易的发展，会引起BDI的上升，①不选。②：跨国公司把国际贸易发展为跨国公司的内部贸易，有利于提高国际贸易水平，会引起BDI上升，②不选。③④：部分国家对国际相关商品的需求下降，个别国家发生金融危机波及其他国家，都会导致国际贸易水平的下降，从而引起BDI下降，③④不选。</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14．B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如果一国生产某种产品的机会成本低于另一个国家,那么,这个国家在生产这种产品时就有比较优势。由本题表中的数据可以看出,甲国生产汽车具有比较优势,乙国生产粮食具有比较优势,①③正确且符合题意，②④：说法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15．B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【详解】①④：“世界开放指数”测度的是各个国家和地区的跨境经济开放以及同经济开放直接、密切相关的跨境社会开放和文化开放，包括开放政策和开放绩效，形成可统计测算的 29项具体量化指标，提高"世界开放指数"势在必行，为此要建设开放型世界经济，拓展各国发展空间，建设包容型世界经济，夯实互利共赢基础，①④符合题意。②：材料未体现建设创新型世界经济，②不符合题意。③：消除意识形态差别，说法过于绝对，③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16．①事物是普遍联系的，我们要坚持整体性思维。通过全面考虑东西部的各项因素，推动全国一体化数据中心布局建设。②事物是变化发展的，必须用动态性思维认识问题。实施东数西算工程，有助于催生新技术、新产业、新业态、新模式，支撑经济高质量发展。③要在综合指导下分析，通过对东西部地区的土地、能源、人工费用等现状分析，启动东数西算工程，从而发挥不同区域的比较优势。④要在分析基础上综合，东数西算工程是经中央部门多方论证、综合考虑我国现在资源、产业分布作出的重大决策。</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关键词①：全面考虑东西部的各项因素，推动全国一体化数据中心布局建设→可联系教材知识辩证思维的整体性；</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关键词②：实施东数西算工程催生新技术、新产业、新业态→可联系教材知识辩证思维的动态性；</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关键词③：启动东数西算工程，发挥不同区域的比较优势→可联系教材知识在综合指导下进行分析；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关键词④：东数西算工程是经中央部门多方论证、综合考虑推出的→可联系教材知识分析是综合的基础。</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第三步：整合信息，组织答案。注意设问限定以及教材知识与材料、时政信息等相结合。</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17．①中国共产党人精神谱系是中国共产党在革命、建设、改革中创造的革命文化和社会主义先进文化，是中国特色社会主义文化体系的重要组成部分，承载着中华民族最深层的精神追求，代表着中华民族独特的精神标识。②中国共产党代表先进文化的前进方向，是中国先进文化的积极引领者和践行者。开展精神谱系教育有利于加强党对文化工作的领导，牢牢掌握意识形态工作的领导权，更好地讴歌人民群众的伟大实践，展示人民精神风貌。③加强精神谱系教育有利于共产党人不忘初心牢记使命，坚定理想信念，增强实现中华民族伟大复兴的精神力量。④开展精神谱系教育，有利于培育和践行社会主义核心价值观，弘扬主旋律、传播正能量，推进文化自信自强，铸就社会主义文化新辉煌。</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①：一代又一代中国共产党人顽强拼搏自我革新，不断积淀形成了井冈山精神、长征精神、遵义会议精神、红岩精神、抗美援朝精神、"两弹一星"精神、特区精神、抗疫精神等伟大精神，构筑起了中国共产党人的精神谱系→可联系精神谱系是中特色社会主义文化的重要组成部分，具有重要的作用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②：这些宝责精神财富凝聚着中国共产党人艰苦奋斗、牺牲奉献、自我革命的伟大品格，跨越时空、历久弥新，深深融入我们党、国家、民族、人民的血脉中，凝聚成浩瀚磅磷之力，激励中国人民鼓起迈向新征程、奋进新时代的精气神，推动我们从胜利走向新的胜利。→可联系中国共产党代表先进文化的前进方向，精神谱系有利于增强精神力量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关键词③：弘扬以伟大建党精神为源头的中国共产党人精神谱系，用好红色资源，深入开展社会主义核心价值观宣传教育→可联系有利于弘扬社会主义核心价值观知识；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18．①江苏省努力建设统一开放、竞争有序的市场体系，优化了营商环境，提高了资源配置效率和公平性，推动了经济高质量发展。②江苏省贯彻了创新发展理念，努力建设创新引领、协调发展的产业体系，推动人工智能与实体经济深度融合，不断提高创新在实体经济发展中的贡献份额，培育经济发展新动能；推动强链补链行动，大力发展实体经济，筑牢了现代化经济体系的根基。③江苏省贯彻绿色发展理念，转变经济发展方式，降低高耗能行业比重，大力发展战略性新兴产业和高科技产业，促进产业优化组合。④江苏省鼓励支持引导非公有制经济发展，使之在推动经济社会发展、国际市场的开拓等方面发挥重要作用，推动了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关键词①：江苏省破除各类卡点堵点，着力打造市场化、法治化和国际化一流营商环境，让越来越多的企业、人才、资本选择江苏、扎根江苏→可联系建设统一开放、竞争有序的市场体系知识；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②：江苏注重在投入领域上有效引导，持续推动强链补链行动计划，大力发展战略性新兴产业和现代服务业，战略性新兴产业，，高新技术产业，以智能制造为主攻方向，对5万多家规模以上制造业企业进行了智能化、数字化改造→可联系贯彻新发展理念，大力发展实体经济，转变经济发展方式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关键词③：2021年江苏民营经济对全省GDP增长贡献率达63.1</w:t>
      </w:r>
      <w:r>
        <w:rPr>
          <w:rFonts w:hint="eastAsia" w:ascii="宋体" w:hAnsi="宋体" w:eastAsia="宋体" w:cs="宋体"/>
        </w:rPr>
        <w:drawing>
          <wp:inline distT="0" distB="0" distL="114300" distR="114300">
            <wp:extent cx="66675" cy="85725"/>
            <wp:effectExtent l="0" t="0" r="0" b="0"/>
            <wp:docPr id="1460242680" name="图片 146024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42680" name="图片 1460242680"/>
                    <pic:cNvPicPr>
                      <a:picLocks noChangeAspect="1"/>
                    </pic:cNvPicPr>
                  </pic:nvPicPr>
                  <pic:blipFill>
                    <a:blip r:embed="rId11"/>
                    <a:stretch>
                      <a:fillRect/>
                    </a:stretch>
                  </pic:blipFill>
                  <pic:spPr>
                    <a:xfrm>
                      <a:off x="0" y="0"/>
                      <a:ext cx="66675" cy="85725"/>
                    </a:xfrm>
                    <a:prstGeom prst="rect">
                      <a:avLst/>
                    </a:prstGeom>
                  </pic:spPr>
                </pic:pic>
              </a:graphicData>
            </a:graphic>
          </wp:inline>
        </w:drawing>
      </w:r>
      <w:r>
        <w:rPr>
          <w:rFonts w:hint="eastAsia" w:ascii="宋体" w:hAnsi="宋体" w:eastAsia="宋体" w:cs="宋体"/>
        </w:rPr>
        <w:t>，民营企业出口占全省出口比重达44.2</w:t>
      </w:r>
      <w:r>
        <w:rPr>
          <w:rFonts w:hint="eastAsia" w:ascii="宋体" w:hAnsi="宋体" w:eastAsia="宋体" w:cs="宋体"/>
        </w:rPr>
        <w:drawing>
          <wp:inline distT="0" distB="0" distL="114300" distR="114300">
            <wp:extent cx="66675" cy="85725"/>
            <wp:effectExtent l="0" t="0" r="0" b="0"/>
            <wp:docPr id="283531915" name="图片 28353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31915" name="图片 283531915"/>
                    <pic:cNvPicPr>
                      <a:picLocks noChangeAspect="1"/>
                    </pic:cNvPicPr>
                  </pic:nvPicPr>
                  <pic:blipFill>
                    <a:blip r:embed="rId11"/>
                    <a:stretch>
                      <a:fillRect/>
                    </a:stretch>
                  </pic:blipFill>
                  <pic:spPr>
                    <a:xfrm>
                      <a:off x="0" y="0"/>
                      <a:ext cx="66675" cy="85725"/>
                    </a:xfrm>
                    <a:prstGeom prst="rect">
                      <a:avLst/>
                    </a:prstGeom>
                  </pic:spPr>
                </pic:pic>
              </a:graphicData>
            </a:graphic>
          </wp:inline>
        </w:drawing>
      </w:r>
      <w:r>
        <w:rPr>
          <w:rFonts w:hint="eastAsia" w:ascii="宋体" w:hAnsi="宋体" w:eastAsia="宋体" w:cs="宋体"/>
        </w:rPr>
        <w:t>→可联系促进民营企业知识；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19．(1)2015年—2020年我国铁矿石进口量总体不断增加，2021年有所下降；2015年—2018年我国铁矿石原矿产量下降，之后稳中有升；2017年以来铁矿石对外依存度总体呈下降趋势，但依然较高，我国经济发展依然存在较大风险。</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①保障初级产品的供给既要发挥市场的决定作用，又要更好发挥政府作用。政府通过实施产业政策，加强市场监管，加快退出落后钢铁产能，促进钢铁行业转型升级和高质量发展，维护我国钢铁行业产业链、供应链安全，保障我国资源安全。</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②深入参与经济全球化，更好利用国际国内两个市场、两种资源。实施初级产品进口多元化战略，降低依赖单一市场的风险。</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③不断提升我国铁矿石自主保障能力，坚持自力更生的原则，实施创新驱动发展战略，发展先进开采和利用技术，加强国内初级产品的勘探、开采，推进绿色生产，提高资源利用率。</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【分析】背景材料：我国铁矿石原矿产量、进口量、对外依存度情况和国家发布政策通知做好铁矿石等大宗商品价格监测预警</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考点考查：市场调节、宏观调控、经济全球化、全面提高开放型经济水平、推动经济高质量发展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能力考查：调动和运用知识、描述和阐释事物</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核心素养：政治认同、科学精神、公共参与</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（1）关键词①：根据图表“2015年-2021年我国铁矿石原矿进口量情况”→可知铁矿石进口量总体不断增加；</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关键词②：根据图表“2015年-2021年我国铁矿石原矿产量”→可知2015年至2018年铁矿石原矿产量下降，之后稳中有升；</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关键词③：根据图表“2015年-2021年我国铁矿石对外依存度情况”+小注→可知我国铁矿石对外依存度总体呈下降趋势，但仍然较高，表明我国经济发展依然存在较大风险。</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关键词①：我国铁矿储量居世界前列，但人均资源量仅为世界平均水平的25，且存在品位不高、利用率较低等问题。同时也是最大的钢材出口国且大多数是初级产品，对铁矿石等原材料有着巨大需求→可联系有效市场与有为政府的结合。</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②：我国已成为全球最大的铁矿石进口国且进口来源国较为集中，+2022年，受新冠肺炎疫情、主要经济体货币政策转向等多重因素共同影响，国际大宗商品价格形势更加严峻复杂和不确定→可联系深入参与经济全球化。</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③：国家发改委等12部门联合发布政策通知，做好铁矿石等大宗商品价格监测预警，支持企业投资开发铁矿等国内具备资源条件、符合要求的矿产开发项目→可联系坚持自力更生的原则，实施创新驱动发展战略，提高资源利用率。</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20．①该省坚持对外开放，通过转移钢铁、水泥等富余产能，促进了国际产能合作，创新了对外投资方式；②该省实施“引进来”和“走出去”并重战略，大力引进外资，同时集中突破对外投资项目；③该省发展新型服务贸易，扩大了服务业对外开放，同时通过下放外资审批权限、健全外商企业投诉机制实施了投资自由化便利化政策，保护了外商投资的合法权益。④该省扩大优势产业贸易，形成以技术、品牌、质量等为核心的出口竞争新优势，同时打造千亿产业群，实现了对外经济发展方式的转变，推动开放朝着优化结构、提高效益方向转变。</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①材料信息：钢铁、水泥、化工等行业存在富余产能，借“一带一路”建设之势，该省力争3年内实现产能转移。概括分析：该省坚持对外开放，促进国际产能合作，创新了对外投资方式。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②材料信息：集中突破20个对外投资项目，对沿线国家的优势产业贸易从200亿美元扩至300亿美元；大力引进外资，概括分析：该省实施“引进来”和“走出去”并重战略，大力引进外资，同时集中突破对外投资项目。</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③材料信息：着力提高产品质量和技术水平，培育信息服务、跨境电子商务、服务外包等新型服务贸易。通过“放管服”下放外资对于高科技产业投资的审批权限，建立健全外商投资企业投诉工作机制，使贸易更加便利、自由。概括分析：该省发展新型服务贸易，扩大了服务业对外开放，同时通过下放外资审批权限、健全外商企业投诉机制实施了投资自由化便利化政策，保护了外商投资的合法权益。</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④材料信息：电力设备、服装纺织、农机农资等产业基础较好、具有特色，打造一批新的千亿产业集群，提升外资的利用水平和质量。概括分析：该省扩大优势产业贸易，形成以技术、品牌、质量等为核心的出口竞争新优势，同时打造千亿产业群，实现了对外经济发展方式的转变，推动开放朝着优化结构、提高效益方向转变。</w:t>
      </w:r>
    </w:p>
    <w:p>
      <w:pPr>
        <w:shd w:val="clear" w:color="auto" w:fill="auto"/>
        <w:spacing w:line="360" w:lineRule="auto"/>
        <w:jc w:val="left"/>
      </w:pPr>
    </w:p>
    <w:sectPr>
      <w:footerReference r:id="rId5" w:type="default"/>
      <w:footerReference r:id="rId6" w:type="even"/>
      <w:pgSz w:w="11906" w:h="16838"/>
      <w:pgMar w:top="1020" w:right="1134" w:bottom="1020" w:left="1134" w:header="851" w:footer="39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ZWI5ZTVmYjVlMDQ0MzdkMjRhYzFjMDllMDMzYWMifQ=="/>
  </w:docVars>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1EB25197"/>
    <w:rsid w:val="2C1554CD"/>
    <w:rsid w:val="79B1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12153</Words>
  <Characters>12428</Characters>
  <Lines>0</Lines>
  <Paragraphs>0</Paragraphs>
  <TotalTime>14</TotalTime>
  <ScaleCrop>false</ScaleCrop>
  <LinksUpToDate>false</LinksUpToDate>
  <CharactersWithSpaces>12506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曹淑莹</cp:lastModifiedBy>
  <dcterms:modified xsi:type="dcterms:W3CDTF">2022-12-30T03:23:47Z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2052-11.1.0.12980</vt:lpwstr>
  </property>
  <property fmtid="{D5CDD505-2E9C-101B-9397-08002B2CF9AE}" pid="4" name="ICV">
    <vt:lpwstr>2F7FAC25CD9C4325B3C619542F88E881</vt:lpwstr>
  </property>
</Properties>
</file>