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jc w:val="center"/>
        <w:rPr>
          <w:rFonts w:ascii="黑体" w:hAnsi="黑体" w:eastAsia="黑体" w:cs="宋体"/>
          <w:b/>
          <w:bCs/>
          <w:kern w:val="0"/>
          <w:sz w:val="28"/>
          <w:szCs w:val="28"/>
        </w:rPr>
      </w:pPr>
      <w:r>
        <w:rPr>
          <w:rFonts w:hint="eastAsia" w:ascii="黑体" w:hAnsi="黑体" w:eastAsia="黑体" w:cs="宋体"/>
          <w:b/>
          <w:bCs/>
          <w:kern w:val="0"/>
          <w:sz w:val="28"/>
          <w:szCs w:val="28"/>
        </w:rPr>
        <w:t>江苏省仪征中学</w:t>
      </w:r>
      <w:r>
        <w:rPr>
          <w:rFonts w:hint="eastAsia" w:ascii="黑体" w:hAnsi="黑体" w:eastAsia="黑体" w:cs="宋体"/>
          <w:b/>
          <w:bCs/>
          <w:kern w:val="0"/>
          <w:sz w:val="28"/>
          <w:szCs w:val="28"/>
          <w:lang w:val="en-US" w:eastAsia="zh-CN"/>
        </w:rPr>
        <w:t>2022-2023</w:t>
      </w:r>
      <w:r>
        <w:rPr>
          <w:rFonts w:hint="eastAsia" w:ascii="黑体" w:hAnsi="黑体" w:eastAsia="黑体" w:cs="宋体"/>
          <w:b/>
          <w:bCs/>
          <w:kern w:val="0"/>
          <w:sz w:val="28"/>
          <w:szCs w:val="28"/>
        </w:rPr>
        <w:t>学年度第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学期高</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政治学科作业  </w:t>
      </w:r>
    </w:p>
    <w:p>
      <w:pPr>
        <w:keepNext w:val="0"/>
        <w:keepLines w:val="0"/>
        <w:pageBreakBefore w:val="0"/>
        <w:widowControl/>
        <w:kinsoku/>
        <w:wordWrap/>
        <w:overflowPunct/>
        <w:topLinePunct w:val="0"/>
        <w:autoSpaceDE/>
        <w:autoSpaceDN/>
        <w:bidi w:val="0"/>
        <w:adjustRightInd/>
        <w:snapToGrid w:val="0"/>
        <w:spacing w:line="360" w:lineRule="auto"/>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rPr>
        <w:t xml:space="preserve">   </w:t>
      </w:r>
      <w:r>
        <w:rPr>
          <w:rFonts w:hint="eastAsia" w:ascii="黑体" w:hAnsi="黑体" w:eastAsia="黑体" w:cs="宋体"/>
          <w:b/>
          <w:bCs/>
          <w:kern w:val="0"/>
          <w:sz w:val="28"/>
          <w:szCs w:val="28"/>
          <w:lang w:val="en-US" w:eastAsia="zh-CN"/>
        </w:rPr>
        <w:t>期中考试 综合练习三</w:t>
      </w:r>
    </w:p>
    <w:p>
      <w:pPr>
        <w:keepNext w:val="0"/>
        <w:keepLines w:val="0"/>
        <w:pageBreakBefore w:val="0"/>
        <w:widowControl/>
        <w:kinsoku/>
        <w:wordWrap/>
        <w:overflowPunct/>
        <w:topLinePunct w:val="0"/>
        <w:autoSpaceDE/>
        <w:autoSpaceDN/>
        <w:bidi w:val="0"/>
        <w:adjustRightInd/>
        <w:snapToGrid w:val="0"/>
        <w:spacing w:line="360" w:lineRule="auto"/>
        <w:jc w:val="center"/>
        <w:rPr>
          <w:rFonts w:ascii="楷体" w:hAnsi="楷体" w:eastAsia="楷体" w:cs="宋体"/>
          <w:bCs/>
          <w:kern w:val="0"/>
          <w:sz w:val="24"/>
          <w:szCs w:val="24"/>
        </w:rPr>
      </w:pPr>
      <w:r>
        <w:rPr>
          <w:rFonts w:hint="eastAsia" w:ascii="楷体" w:hAnsi="楷体" w:eastAsia="楷体" w:cs="宋体"/>
          <w:bCs/>
          <w:kern w:val="0"/>
          <w:sz w:val="24"/>
          <w:szCs w:val="24"/>
        </w:rPr>
        <w:t>研制人：</w:t>
      </w:r>
      <w:r>
        <w:rPr>
          <w:rFonts w:hint="eastAsia" w:ascii="楷体" w:hAnsi="楷体" w:eastAsia="楷体" w:cs="宋体"/>
          <w:bCs/>
          <w:kern w:val="0"/>
          <w:sz w:val="24"/>
          <w:szCs w:val="24"/>
          <w:lang w:val="en-US" w:eastAsia="zh-CN"/>
        </w:rPr>
        <w:t>马楠</w:t>
      </w:r>
      <w:r>
        <w:rPr>
          <w:rFonts w:hint="eastAsia" w:ascii="楷体" w:hAnsi="楷体" w:eastAsia="楷体" w:cs="宋体"/>
          <w:bCs/>
          <w:kern w:val="0"/>
          <w:sz w:val="24"/>
          <w:szCs w:val="24"/>
        </w:rPr>
        <w:t xml:space="preserve">  审核人：</w:t>
      </w:r>
      <w:r>
        <w:rPr>
          <w:rFonts w:hint="eastAsia" w:ascii="楷体" w:hAnsi="楷体" w:eastAsia="楷体" w:cs="宋体"/>
          <w:bCs/>
          <w:kern w:val="0"/>
          <w:sz w:val="24"/>
          <w:szCs w:val="24"/>
          <w:lang w:val="en-US" w:eastAsia="zh-CN"/>
        </w:rPr>
        <w:t>曹淑莹</w:t>
      </w:r>
      <w:r>
        <w:rPr>
          <w:rFonts w:hint="eastAsia" w:ascii="楷体" w:hAnsi="楷体" w:eastAsia="楷体" w:cs="宋体"/>
          <w:bCs/>
          <w:kern w:val="0"/>
          <w:sz w:val="24"/>
          <w:szCs w:val="24"/>
        </w:rPr>
        <w:t xml:space="preserve">   </w:t>
      </w:r>
    </w:p>
    <w:p>
      <w:pPr>
        <w:keepNext w:val="0"/>
        <w:keepLines w:val="0"/>
        <w:pageBreakBefore w:val="0"/>
        <w:kinsoku/>
        <w:wordWrap/>
        <w:overflowPunct/>
        <w:topLinePunct w:val="0"/>
        <w:autoSpaceDE/>
        <w:autoSpaceDN/>
        <w:bidi w:val="0"/>
        <w:adjustRightInd/>
        <w:snapToGrid w:val="0"/>
        <w:spacing w:line="360" w:lineRule="auto"/>
        <w:jc w:val="center"/>
        <w:rPr>
          <w:rFonts w:ascii="楷体" w:hAnsi="楷体" w:eastAsia="楷体" w:cs="宋体"/>
          <w:bCs/>
          <w:kern w:val="0"/>
          <w:sz w:val="24"/>
          <w:szCs w:val="24"/>
          <w:u w:val="single"/>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时间：</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u w:val="single"/>
          <w:lang w:val="en-US" w:eastAsia="zh-CN"/>
        </w:rPr>
        <w:t xml:space="preserve"> </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作业时长</w:t>
      </w:r>
      <w:r>
        <w:rPr>
          <w:rFonts w:hint="eastAsia" w:ascii="楷体" w:hAnsi="楷体" w:eastAsia="楷体" w:cs="宋体"/>
          <w:bCs/>
          <w:kern w:val="0"/>
          <w:sz w:val="24"/>
          <w:szCs w:val="24"/>
          <w:u w:val="single"/>
        </w:rPr>
        <w:t>：25分钟</w:t>
      </w:r>
      <w:r>
        <w:rPr>
          <w:rFonts w:hint="eastAsia" w:ascii="方正大标宋_GBK" w:hAnsi="方正大标宋_GBK" w:eastAsia="方正大标宋_GBK" w:cs="方正大标宋_GBK"/>
          <w:color w:val="0000FF"/>
          <w:sz w:val="32"/>
          <w:szCs w:val="36"/>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cs="宋体" w:asciiTheme="minorEastAsia" w:hAnsiTheme="minorEastAsia" w:eastAsiaTheme="minorEastAsia"/>
          <w:szCs w:val="21"/>
        </w:rPr>
      </w:pPr>
      <w:r>
        <w:rPr>
          <w:rFonts w:hint="eastAsia" w:cs="Calibri" w:asciiTheme="minorEastAsia" w:hAnsiTheme="minorEastAsia" w:eastAsiaTheme="minorEastAsia"/>
          <w:b/>
          <w:bCs/>
        </w:rPr>
        <w:t>1</w:t>
      </w:r>
      <w:r>
        <w:rPr>
          <w:rFonts w:hint="eastAsia" w:cs="宋体" w:asciiTheme="minorEastAsia" w:hAnsiTheme="minorEastAsia" w:eastAsiaTheme="minorEastAsia"/>
          <w:b/>
          <w:bCs/>
          <w:szCs w:val="21"/>
        </w:rPr>
        <w:t>．</w:t>
      </w:r>
      <w:r>
        <w:rPr>
          <w:rFonts w:hint="eastAsia" w:cs="宋体" w:asciiTheme="minorEastAsia" w:hAnsiTheme="minorEastAsia" w:eastAsiaTheme="minorEastAsia"/>
          <w:szCs w:val="21"/>
        </w:rPr>
        <w:t>下列情境中，符合奴隶制生产关系特点的是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A．阿兴没日没夜为主人劳作，却还经常被暴打、食不果腹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B．阿兴有一定人身自由，租种土地的劳动成果大部分交给主人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C．阿兴每天劳动12小时以上，工资除了吃住之外，所剩无几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D．阿兴的劳动成果除缴纳地租外，还能留下一部分归自己支配</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hint="eastAsia" w:ascii="宋体" w:hAnsi="宋体" w:cs="宋体"/>
          <w:b/>
          <w:bCs/>
          <w:szCs w:val="21"/>
        </w:rPr>
        <w:t>2．</w:t>
      </w:r>
      <w:r>
        <w:rPr>
          <w:rFonts w:hint="eastAsia" w:ascii="宋体" w:hAnsi="宋体" w:cs="宋体"/>
          <w:szCs w:val="21"/>
        </w:rPr>
        <w:t>2022年是《共产党宣言》发表174周年。回首《共产党宣言》诞生以来的174年，人类社会见证了种种思潮的激荡，经历无尽的风云变幻，但始终不变的是人民对和平幸福美好社会理想的追求。下列关于《共产党宣言》说法正确的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①第一次系统论述了无产阶级政党的性质、特点、任务和策略原则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②为科学社会主义的创立奠定理论基石，标志着科学社会主义的诞生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③揭示了人类社会发展的一般规律和阶级斗争在阶级社会中的作用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④科学论证了资本主义必然灭亡和社会主义必然胜利的历史必然性</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A．①③         B．①④       C．②③       D．②④</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hint="eastAsia" w:ascii="宋体" w:hAnsi="宋体" w:cs="宋体"/>
          <w:b/>
          <w:bCs/>
          <w:szCs w:val="21"/>
        </w:rPr>
        <w:t>3．</w:t>
      </w:r>
      <w:r>
        <w:rPr>
          <w:rFonts w:hint="eastAsia" w:ascii="宋体" w:hAnsi="宋体" w:cs="宋体"/>
          <w:szCs w:val="21"/>
        </w:rPr>
        <w:t>生产资料的所有制形式即劳动资料和劳动对象归谁所有，生产资料所有制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①是生产关系的核心 </w:t>
      </w:r>
      <w:r>
        <w:rPr>
          <w:rFonts w:ascii="宋体" w:hAnsi="宋体" w:cs="宋体"/>
          <w:szCs w:val="21"/>
        </w:rPr>
        <w:t xml:space="preserve">   </w:t>
      </w:r>
      <w:r>
        <w:rPr>
          <w:rFonts w:hint="eastAsia" w:ascii="宋体" w:hAnsi="宋体" w:cs="宋体"/>
          <w:szCs w:val="21"/>
        </w:rPr>
        <w:t>②由社会的基本性质决定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③是经济制度的基础 </w:t>
      </w:r>
      <w:r>
        <w:rPr>
          <w:rFonts w:ascii="宋体" w:hAnsi="宋体" w:cs="宋体"/>
          <w:szCs w:val="21"/>
        </w:rPr>
        <w:t xml:space="preserve">   </w:t>
      </w:r>
      <w:r>
        <w:rPr>
          <w:rFonts w:hint="eastAsia" w:ascii="宋体" w:hAnsi="宋体" w:cs="宋体"/>
          <w:szCs w:val="21"/>
        </w:rPr>
        <w:t>④决定生产力发展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A．①④</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B．②④</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C．①③</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D．②③</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hint="eastAsia" w:ascii="宋体" w:hAnsi="宋体" w:cs="宋体"/>
          <w:b/>
          <w:bCs/>
          <w:szCs w:val="21"/>
        </w:rPr>
        <w:t>4．</w:t>
      </w:r>
      <w:r>
        <w:rPr>
          <w:rFonts w:hint="eastAsia" w:ascii="宋体" w:hAnsi="宋体" w:cs="宋体"/>
          <w:szCs w:val="21"/>
        </w:rPr>
        <w:t>社会主义制度在中国的确立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①彻底结束了旧中国半殖民地半封建社会的历史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②实现了中国历史上最深刻最伟大的的社会变革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③为实现由新民主主义向社会主义的过渡创造了前提条件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④为当代中国一切发展进步奠定了根本政治前提和制度基础</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A．①②       B．①③        C．②④       D．③④</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hint="eastAsia" w:ascii="宋体" w:hAnsi="宋体" w:cs="宋体"/>
          <w:b/>
          <w:bCs/>
          <w:szCs w:val="21"/>
        </w:rPr>
        <w:t>5．</w:t>
      </w:r>
      <w:r>
        <w:rPr>
          <w:rFonts w:hint="eastAsia" w:ascii="宋体" w:hAnsi="宋体" w:cs="宋体"/>
          <w:szCs w:val="21"/>
        </w:rPr>
        <w:t>40多年春风化雨，砥砺前行，在改革开放的伟大实践中，中华民族的面貌得到极大改变。下列改革开放进程的排列顺序正确的是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①我国对外开放迈出关键步伐       ②提出形成全面对外开放新格局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③作出全面深化改革的重要部署     ④明确建立社会主义市场经济体制的目标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A．②—①—③—④</w:t>
      </w:r>
      <w:r>
        <w:rPr>
          <w:rFonts w:hint="eastAsia" w:ascii="宋体" w:hAnsi="宋体" w:cs="宋体"/>
          <w:szCs w:val="21"/>
        </w:rPr>
        <w:tab/>
      </w:r>
      <w:r>
        <w:rPr>
          <w:rFonts w:hint="eastAsia" w:ascii="宋体" w:hAnsi="宋体" w:cs="宋体"/>
          <w:szCs w:val="21"/>
        </w:rPr>
        <w:t>B．①—④—③—②</w:t>
      </w:r>
      <w:r>
        <w:rPr>
          <w:rFonts w:hint="eastAsia" w:ascii="宋体" w:hAnsi="宋体" w:cs="宋体"/>
          <w:szCs w:val="21"/>
        </w:rPr>
        <w:tab/>
      </w:r>
      <w:r>
        <w:rPr>
          <w:rFonts w:hint="eastAsia" w:ascii="宋体" w:hAnsi="宋体" w:cs="宋体"/>
          <w:szCs w:val="21"/>
        </w:rPr>
        <w:t>C．①—③—②—④</w:t>
      </w:r>
      <w:r>
        <w:rPr>
          <w:rFonts w:hint="eastAsia" w:ascii="宋体" w:hAnsi="宋体" w:cs="宋体"/>
          <w:szCs w:val="21"/>
        </w:rPr>
        <w:tab/>
      </w:r>
      <w:r>
        <w:rPr>
          <w:rFonts w:hint="eastAsia" w:ascii="宋体" w:hAnsi="宋体" w:cs="宋体"/>
          <w:szCs w:val="21"/>
        </w:rPr>
        <w:t>D．③—②—④—①</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ascii="宋体" w:hAnsi="宋体" w:cs="宋体"/>
          <w:b/>
          <w:bCs/>
          <w:szCs w:val="21"/>
        </w:rPr>
        <w:t>6</w:t>
      </w:r>
      <w:r>
        <w:rPr>
          <w:rFonts w:hint="eastAsia" w:ascii="宋体" w:hAnsi="宋体" w:cs="宋体"/>
          <w:b/>
          <w:bCs/>
          <w:szCs w:val="21"/>
        </w:rPr>
        <w:t>．</w:t>
      </w:r>
      <w:r>
        <w:rPr>
          <w:rFonts w:hint="eastAsia" w:ascii="宋体" w:hAnsi="宋体" w:cs="宋体"/>
          <w:szCs w:val="21"/>
        </w:rPr>
        <w:t>列宁指出：“通常所说的阶级究竟是什么呢？这就是允许社会上一部分人占有另一部分人的劳动。如果社会上一部分人占有全部土地，那就有了地主阶级和农民阶级；如果社会上一部分人拥有工厂，拥有股票和资本，而另一部分人却在这些工厂里做工，那就有了资本家阶级和无产者阶级。”由此可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①阶级就是在一定生产关系中处于不同地位的各种集团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②封建社会与资本主义社会都以生产资料私有制为基础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③农民阶级和无产者阶级都不占有生产资料和劳动成果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④阶级矛盾和阶级斗争是贯穿阶级社会始终的基本矛盾</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A．①②    </w:t>
      </w:r>
      <w:r>
        <w:rPr>
          <w:rFonts w:hint="eastAsia" w:ascii="宋体" w:hAnsi="宋体" w:cs="宋体"/>
          <w:szCs w:val="21"/>
          <w:lang w:val="en-US" w:eastAsia="zh-CN"/>
        </w:rPr>
        <w:t xml:space="preserve">   </w:t>
      </w:r>
      <w:r>
        <w:rPr>
          <w:rFonts w:hint="eastAsia" w:ascii="宋体" w:hAnsi="宋体" w:cs="宋体"/>
          <w:szCs w:val="21"/>
        </w:rPr>
        <w:t xml:space="preserve"> B．①④     C．②③</w:t>
      </w:r>
      <w:r>
        <w:rPr>
          <w:rFonts w:hint="eastAsia" w:ascii="宋体" w:hAnsi="宋体" w:cs="宋体"/>
          <w:szCs w:val="21"/>
          <w:lang w:val="en-US" w:eastAsia="zh-CN"/>
        </w:rPr>
        <w:t xml:space="preserve">      </w:t>
      </w:r>
      <w:r>
        <w:rPr>
          <w:rFonts w:hint="eastAsia" w:ascii="宋体" w:hAnsi="宋体" w:cs="宋体"/>
          <w:szCs w:val="21"/>
        </w:rPr>
        <w:t>D．③④</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ascii="宋体" w:hAnsi="宋体" w:cs="宋体"/>
          <w:b/>
          <w:bCs/>
          <w:szCs w:val="21"/>
        </w:rPr>
        <w:t>7</w:t>
      </w:r>
      <w:r>
        <w:rPr>
          <w:rFonts w:hint="eastAsia" w:ascii="宋体" w:hAnsi="宋体" w:cs="宋体"/>
          <w:b/>
          <w:bCs/>
          <w:szCs w:val="21"/>
        </w:rPr>
        <w:t>．</w:t>
      </w:r>
      <w:r>
        <w:rPr>
          <w:rFonts w:hint="eastAsia" w:ascii="宋体" w:hAnsi="宋体" w:cs="宋体"/>
          <w:szCs w:val="21"/>
        </w:rPr>
        <w:t>习近平新时代中国特色社会主义思想是党和人民实践经验和集体智慧的结晶，深刻回答新时代坚持和发展什么样的中国特色社会主义、怎样坚持和发展中国特色社会主义的时代课题，是引领我们谋大局、应变局、开新局的强大思想武器。由此可见，习近平新时代中国特色社会主义思想</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①是新时代全党和全国人民的“定盘星”和“指南针”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②是马克思主义中国化最新成果，为各项工作提供具体方法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③是中国特色社会主义进入新时代以来党的全部理论和实践的主题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④回应新时代之问，开创新时代之治，谱写新的篇章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A．①②</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B．①④</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C．②③ </w:t>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rPr>
        <w:t>D．③④</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hint="eastAsia" w:ascii="宋体" w:hAnsi="宋体" w:cs="宋体"/>
          <w:b/>
          <w:bCs/>
          <w:szCs w:val="21"/>
        </w:rPr>
        <w:t>8</w:t>
      </w:r>
      <w:r>
        <w:rPr>
          <w:rFonts w:ascii="宋体" w:hAnsi="宋体" w:cs="宋体"/>
          <w:b/>
          <w:bCs/>
          <w:szCs w:val="21"/>
        </w:rPr>
        <w:t>.</w:t>
      </w:r>
      <w:r>
        <w:rPr>
          <w:rFonts w:hint="eastAsia" w:ascii="宋体" w:hAnsi="宋体" w:cs="宋体"/>
          <w:szCs w:val="21"/>
        </w:rPr>
        <w:t>近年来，我国在发展医疗卫生事业的过程中，积极鼓励社会资本进入医疗领域，民营医院的数量逐年增加，比重也在逐渐加重。这说明</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①适当引入社会资本能够激活公立医院的市场竞争力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②不同所有制经济都是我国经济社会发展的重要基础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③混合所有制经济是社会主义的根本经济特征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④坚持民营经济的主体地位更能推动生产力的发展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A．①②      B．①③     C．②④     D．③④</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ascii="宋体" w:hAnsi="宋体" w:cs="宋体"/>
          <w:b/>
          <w:bCs/>
          <w:szCs w:val="21"/>
        </w:rPr>
        <w:t>9</w:t>
      </w:r>
      <w:r>
        <w:rPr>
          <w:rFonts w:hint="eastAsia" w:ascii="宋体" w:hAnsi="宋体" w:cs="宋体"/>
          <w:b/>
          <w:bCs/>
          <w:szCs w:val="21"/>
        </w:rPr>
        <w:t>．</w:t>
      </w:r>
      <w:r>
        <w:rPr>
          <w:rFonts w:hint="eastAsia" w:ascii="宋体" w:hAnsi="宋体" w:cs="宋体"/>
          <w:szCs w:val="21"/>
        </w:rPr>
        <w:t>以下是2010-2021年我国500强企业入围所有制结构变化趋势图。由图（含注）我们可以推断出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drawing>
          <wp:inline distT="0" distB="0" distL="114300" distR="114300">
            <wp:extent cx="4171950" cy="204978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6"/>
                    <a:stretch>
                      <a:fillRect/>
                    </a:stretch>
                  </pic:blipFill>
                  <pic:spPr>
                    <a:xfrm>
                      <a:off x="0" y="0"/>
                      <a:ext cx="4171950" cy="20497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楷体" w:hAnsi="楷体" w:eastAsia="楷体" w:cs="楷体"/>
          <w:szCs w:val="21"/>
        </w:rPr>
      </w:pPr>
      <w:r>
        <w:rPr>
          <w:rFonts w:hint="eastAsia" w:ascii="楷体" w:hAnsi="楷体" w:eastAsia="楷体" w:cs="楷体"/>
          <w:szCs w:val="21"/>
        </w:rPr>
        <w:t>注：2021年中国企业500强的入围门槛较2020年提高了32.75亿元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①非公有制经济逐步成为我国经济的主体   ②公有制经济和非公有制经济在国民经济中地位平等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③我国鼓励、支持、引导非公有制经济发展 ④非公有制经济是发展社会主义市场经济的重要力量</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A．①②     B．①③       C．②④</w:t>
      </w:r>
      <w:r>
        <w:rPr>
          <w:rFonts w:hint="eastAsia" w:ascii="宋体" w:hAnsi="宋体" w:cs="宋体"/>
          <w:szCs w:val="21"/>
        </w:rPr>
        <w:tab/>
      </w:r>
      <w:r>
        <w:rPr>
          <w:rFonts w:hint="eastAsia" w:ascii="宋体" w:hAnsi="宋体" w:cs="宋体"/>
          <w:szCs w:val="21"/>
        </w:rPr>
        <w:t>D．③④</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ascii="宋体" w:hAnsi="宋体" w:cs="宋体"/>
          <w:b/>
          <w:bCs/>
          <w:szCs w:val="21"/>
        </w:rPr>
        <w:t>10</w:t>
      </w:r>
      <w:r>
        <w:rPr>
          <w:rFonts w:hint="eastAsia" w:ascii="宋体" w:hAnsi="宋体" w:cs="宋体"/>
          <w:b/>
          <w:bCs/>
          <w:szCs w:val="21"/>
        </w:rPr>
        <w:t>．</w:t>
      </w:r>
      <w:r>
        <w:rPr>
          <w:rFonts w:hint="eastAsia" w:ascii="宋体" w:hAnsi="宋体" w:cs="宋体"/>
          <w:szCs w:val="21"/>
        </w:rPr>
        <w:t>据《每日经济新闻》记者不完全统计，2022年5月份以来，包括西安、南京太原、南昌、福州、石家庄银川等在内的超30个城市将房贷（含商业贷款和公积金贷款）首付比例降至最低20%。不考虑其他因素，下列能直接反映房地产市场需求变化的图示是</w:t>
      </w:r>
    </w:p>
    <w:p>
      <w:pPr>
        <w:keepNext w:val="0"/>
        <w:keepLines w:val="0"/>
        <w:pageBreakBefore w:val="0"/>
        <w:widowControl w:val="0"/>
        <w:tabs>
          <w:tab w:val="left" w:pos="4153"/>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w:t>
      </w:r>
      <w:r>
        <w:rPr>
          <w:rFonts w:hint="eastAsia" w:ascii="宋体" w:hAnsi="宋体" w:cs="宋体"/>
          <w:szCs w:val="21"/>
        </w:rPr>
        <w:drawing>
          <wp:inline distT="0" distB="0" distL="114300" distR="114300">
            <wp:extent cx="1187450" cy="1108075"/>
            <wp:effectExtent l="0" t="0" r="1270" b="444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1199363" cy="1119559"/>
                    </a:xfrm>
                    <a:prstGeom prst="rect">
                      <a:avLst/>
                    </a:prstGeom>
                  </pic:spPr>
                </pic:pic>
              </a:graphicData>
            </a:graphic>
          </wp:inline>
        </w:drawing>
      </w:r>
      <w:r>
        <w:rPr>
          <w:rFonts w:hint="eastAsia" w:ascii="宋体" w:hAnsi="宋体" w:cs="宋体"/>
          <w:szCs w:val="21"/>
        </w:rPr>
        <w:t>B．</w:t>
      </w:r>
      <w:r>
        <w:rPr>
          <w:rFonts w:hint="eastAsia" w:ascii="宋体" w:hAnsi="宋体" w:cs="宋体"/>
          <w:szCs w:val="21"/>
        </w:rPr>
        <w:drawing>
          <wp:inline distT="0" distB="0" distL="114300" distR="114300">
            <wp:extent cx="1402715" cy="1337310"/>
            <wp:effectExtent l="0" t="0" r="14605" b="381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8"/>
                    <a:stretch>
                      <a:fillRect/>
                    </a:stretch>
                  </pic:blipFill>
                  <pic:spPr>
                    <a:xfrm>
                      <a:off x="0" y="0"/>
                      <a:ext cx="1404503" cy="1339070"/>
                    </a:xfrm>
                    <a:prstGeom prst="rect">
                      <a:avLst/>
                    </a:prstGeom>
                  </pic:spPr>
                </pic:pic>
              </a:graphicData>
            </a:graphic>
          </wp:inline>
        </w:drawing>
      </w:r>
      <w:r>
        <w:rPr>
          <w:rFonts w:hint="eastAsia" w:ascii="宋体" w:hAnsi="宋体" w:cs="宋体"/>
          <w:szCs w:val="21"/>
        </w:rPr>
        <w:t>C．</w:t>
      </w:r>
      <w:r>
        <w:rPr>
          <w:rFonts w:hint="eastAsia" w:ascii="宋体" w:hAnsi="宋体" w:cs="宋体"/>
          <w:szCs w:val="21"/>
        </w:rPr>
        <w:drawing>
          <wp:inline distT="0" distB="0" distL="114300" distR="114300">
            <wp:extent cx="1325880" cy="1210310"/>
            <wp:effectExtent l="0" t="0" r="0" b="889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1331859" cy="1216188"/>
                    </a:xfrm>
                    <a:prstGeom prst="rect">
                      <a:avLst/>
                    </a:prstGeom>
                  </pic:spPr>
                </pic:pic>
              </a:graphicData>
            </a:graphic>
          </wp:inline>
        </w:drawing>
      </w:r>
      <w:r>
        <w:rPr>
          <w:rFonts w:hint="eastAsia" w:ascii="宋体" w:hAnsi="宋体" w:cs="宋体"/>
          <w:szCs w:val="21"/>
        </w:rPr>
        <w:t>D．</w:t>
      </w:r>
      <w:r>
        <w:rPr>
          <w:rFonts w:hint="eastAsia" w:ascii="宋体" w:hAnsi="宋体" w:cs="宋体"/>
          <w:szCs w:val="21"/>
        </w:rPr>
        <w:drawing>
          <wp:inline distT="0" distB="0" distL="114300" distR="114300">
            <wp:extent cx="1104900" cy="1031875"/>
            <wp:effectExtent l="0" t="0" r="7620" b="444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0"/>
                    <a:stretch>
                      <a:fillRect/>
                    </a:stretch>
                  </pic:blipFill>
                  <pic:spPr>
                    <a:xfrm>
                      <a:off x="0" y="0"/>
                      <a:ext cx="1114073" cy="10409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ascii="宋体" w:hAnsi="宋体" w:cs="宋体"/>
          <w:b/>
          <w:bCs/>
          <w:szCs w:val="21"/>
        </w:rPr>
        <w:t>11</w:t>
      </w:r>
      <w:r>
        <w:rPr>
          <w:rFonts w:hint="eastAsia" w:ascii="宋体" w:hAnsi="宋体" w:cs="宋体"/>
          <w:b/>
          <w:bCs/>
          <w:szCs w:val="21"/>
        </w:rPr>
        <w:t>．</w:t>
      </w:r>
      <w:r>
        <w:rPr>
          <w:rFonts w:hint="eastAsia" w:ascii="宋体" w:hAnsi="宋体" w:cs="宋体"/>
          <w:szCs w:val="21"/>
        </w:rPr>
        <w:t>2022年1月17日，人民银行开展7000亿元中期借贷便利（MLF）操作和1000亿元公开市场逆回购操作。中期借贷便利（MLF）操作和公开市场逆回购操作的中标利率均下降10个基点，分别降至2.85%、2.1%。这是央行自2020年4月之后首次下调政策利率，距离2021年12月降准仅仅一个月。2022年我国仍然要继续实施积极的财政政策和稳健的货币政策。下列关于我国经济政策传导正确的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①降低存款准备金率→增加信贷资金供应→扩大社会总需求，促进经济发展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②降低企业增值税起征点→实施更大规模减税→减轻企业负担，增强企业活力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③实施扩张性财政政策→增加支出、减少税收→促进经济发展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④央行实行逆回购→紧缩市场货币资金流动性→运用经济杠杆助推经济复苏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A．①② </w:t>
      </w:r>
      <w:r>
        <w:rPr>
          <w:rFonts w:ascii="宋体" w:hAnsi="宋体" w:cs="宋体"/>
          <w:szCs w:val="21"/>
        </w:rPr>
        <w:t xml:space="preserve">   </w:t>
      </w:r>
      <w:r>
        <w:rPr>
          <w:rFonts w:hint="eastAsia" w:ascii="宋体" w:hAnsi="宋体" w:cs="宋体"/>
          <w:szCs w:val="21"/>
        </w:rPr>
        <w:tab/>
      </w:r>
      <w:r>
        <w:rPr>
          <w:rFonts w:hint="eastAsia" w:ascii="宋体" w:hAnsi="宋体" w:cs="宋体"/>
          <w:szCs w:val="21"/>
        </w:rPr>
        <w:t xml:space="preserve">B．①③ </w:t>
      </w:r>
      <w:r>
        <w:rPr>
          <w:rFonts w:ascii="宋体" w:hAnsi="宋体" w:cs="宋体"/>
          <w:szCs w:val="21"/>
        </w:rPr>
        <w:t xml:space="preserve">   </w:t>
      </w:r>
      <w:r>
        <w:rPr>
          <w:rFonts w:hint="eastAsia" w:ascii="宋体" w:hAnsi="宋体" w:cs="宋体"/>
          <w:szCs w:val="21"/>
        </w:rPr>
        <w:tab/>
      </w:r>
      <w:r>
        <w:rPr>
          <w:rFonts w:hint="eastAsia" w:ascii="宋体" w:hAnsi="宋体" w:cs="宋体"/>
          <w:szCs w:val="21"/>
        </w:rPr>
        <w:t>C．②④</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D．③④</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hint="eastAsia" w:ascii="宋体" w:hAnsi="宋体" w:cs="宋体"/>
          <w:b/>
          <w:bCs/>
          <w:szCs w:val="21"/>
        </w:rPr>
        <w:t>1</w:t>
      </w:r>
      <w:r>
        <w:rPr>
          <w:rFonts w:ascii="宋体" w:hAnsi="宋体" w:cs="宋体"/>
          <w:b/>
          <w:bCs/>
          <w:szCs w:val="21"/>
        </w:rPr>
        <w:t>2.</w:t>
      </w:r>
      <w:r>
        <w:rPr>
          <w:rFonts w:hint="eastAsia" w:ascii="宋体" w:hAnsi="宋体" w:cs="宋体"/>
          <w:szCs w:val="21"/>
        </w:rPr>
        <w:t>在优化农业产业、生产、经营“三大体系”的实践过程中，某地探索形成了“土地股份合作社+农业职业经理人+农业综合服务”为基本构架的“农业共营制”，有效破解农业谁来经营、农村谁来种地、生产谁来服务三大难题。当地探索“农业共营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①旨在培育新型农业经营主体，改变农村的基本经营制度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②有利于推动农业发展方式转变，激活现代农业内生动力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③是推动农业农村现代化的有益尝试，有助于促进乡村振兴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④增加了农村土地资源供应，实现了我国农业资源的优化配置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A．①③</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B．①④</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C．②③</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D．②④</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hint="eastAsia" w:ascii="宋体" w:hAnsi="宋体" w:cs="宋体"/>
          <w:b/>
          <w:bCs/>
          <w:szCs w:val="21"/>
        </w:rPr>
        <w:t>1</w:t>
      </w:r>
      <w:r>
        <w:rPr>
          <w:rFonts w:ascii="宋体" w:hAnsi="宋体" w:cs="宋体"/>
          <w:b/>
          <w:bCs/>
          <w:szCs w:val="21"/>
        </w:rPr>
        <w:t>3</w:t>
      </w:r>
      <w:r>
        <w:rPr>
          <w:rFonts w:hint="eastAsia" w:ascii="宋体" w:hAnsi="宋体" w:cs="宋体"/>
          <w:b/>
          <w:bCs/>
          <w:szCs w:val="21"/>
        </w:rPr>
        <w:t>．</w:t>
      </w:r>
      <w:r>
        <w:rPr>
          <w:rFonts w:hint="eastAsia" w:ascii="宋体" w:hAnsi="宋体" w:cs="宋体"/>
          <w:szCs w:val="21"/>
        </w:rPr>
        <w:t>2022年6月13日，北京证券交易所新股优机股份开启申购，上市公司数量即将达百家。北交所致力于打造服务创新型中小企业主阵地，其中国家级专精特新“小巨人”企业占比突出。设立北交所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①有利于促进资金融通，提升现代金融服务实体经济能力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②更好发挥资本市场功能作用，支持中小企业的创新发展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③体现国家深化财税体制改革，促进科技创新与现代金融结合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④有利于毫不动摇地巩固和发展非公有制经济，提高社会资金使用效率</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A．①②     B．①④      C．②③    D．③④</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hint="eastAsia" w:ascii="宋体" w:hAnsi="宋体" w:cs="宋体"/>
          <w:b/>
          <w:bCs/>
          <w:szCs w:val="21"/>
        </w:rPr>
        <w:t>1</w:t>
      </w:r>
      <w:r>
        <w:rPr>
          <w:rFonts w:ascii="宋体" w:hAnsi="宋体" w:cs="宋体"/>
          <w:b/>
          <w:bCs/>
          <w:szCs w:val="21"/>
        </w:rPr>
        <w:t>4</w:t>
      </w:r>
      <w:r>
        <w:rPr>
          <w:rFonts w:hint="eastAsia" w:ascii="宋体" w:hAnsi="宋体" w:cs="宋体"/>
          <w:b/>
          <w:bCs/>
          <w:szCs w:val="21"/>
        </w:rPr>
        <w:t>．</w:t>
      </w:r>
      <w:r>
        <w:rPr>
          <w:rFonts w:hint="eastAsia" w:ascii="宋体" w:hAnsi="宋体" w:cs="宋体"/>
          <w:szCs w:val="21"/>
        </w:rPr>
        <w:t>曹某是国有企业工程师，2021年月工资8000元，月奖金2000元；其妻在一家私营企业工作，月工资6000元；出租房屋的月收入3000元；曹某儿子个人专利转让收入5000元。下表曹某家年收入分类统计正确的是</w:t>
      </w:r>
    </w:p>
    <w:tbl>
      <w:tblPr>
        <w:tblStyle w:val="6"/>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60"/>
        <w:gridCol w:w="2268"/>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center"/>
              <w:rPr>
                <w:rFonts w:ascii="宋体" w:hAnsi="宋体" w:cs="宋体"/>
                <w:szCs w:val="21"/>
              </w:rPr>
            </w:pPr>
            <w:r>
              <w:rPr>
                <w:rFonts w:hint="eastAsia" w:ascii="宋体" w:hAnsi="宋体" w:cs="宋体"/>
                <w:szCs w:val="21"/>
              </w:rPr>
              <w:t>①按劳分配收入</w:t>
            </w:r>
          </w:p>
        </w:tc>
        <w:tc>
          <w:tcPr>
            <w:tcW w:w="22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center"/>
              <w:rPr>
                <w:rFonts w:ascii="宋体" w:hAnsi="宋体" w:cs="宋体"/>
                <w:szCs w:val="21"/>
              </w:rPr>
            </w:pPr>
            <w:r>
              <w:rPr>
                <w:rFonts w:hint="eastAsia" w:ascii="宋体" w:hAnsi="宋体" w:cs="宋体"/>
                <w:szCs w:val="21"/>
              </w:rPr>
              <w:t>②按要素分配收入</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center"/>
              <w:rPr>
                <w:rFonts w:ascii="宋体" w:hAnsi="宋体" w:cs="宋体"/>
                <w:szCs w:val="21"/>
              </w:rPr>
            </w:pPr>
            <w:r>
              <w:rPr>
                <w:rFonts w:hint="eastAsia" w:ascii="宋体" w:hAnsi="宋体" w:cs="宋体"/>
                <w:szCs w:val="21"/>
              </w:rPr>
              <w:t>③劳动性收入</w:t>
            </w:r>
          </w:p>
        </w:tc>
        <w:tc>
          <w:tcPr>
            <w:tcW w:w="212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center"/>
              <w:rPr>
                <w:rFonts w:ascii="宋体" w:hAnsi="宋体" w:cs="宋体"/>
                <w:szCs w:val="21"/>
              </w:rPr>
            </w:pPr>
            <w:r>
              <w:rPr>
                <w:rFonts w:hint="eastAsia" w:ascii="宋体" w:hAnsi="宋体" w:cs="宋体"/>
                <w:szCs w:val="21"/>
              </w:rPr>
              <w:t>④财产性收入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center"/>
              <w:rPr>
                <w:rFonts w:ascii="宋体" w:hAnsi="宋体" w:cs="宋体"/>
                <w:szCs w:val="21"/>
              </w:rPr>
            </w:pPr>
            <w:r>
              <w:rPr>
                <w:rFonts w:hint="eastAsia" w:ascii="宋体" w:hAnsi="宋体" w:cs="宋体"/>
                <w:szCs w:val="21"/>
              </w:rPr>
              <w:t>120000元</w:t>
            </w:r>
          </w:p>
        </w:tc>
        <w:tc>
          <w:tcPr>
            <w:tcW w:w="22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center"/>
              <w:rPr>
                <w:rFonts w:ascii="宋体" w:hAnsi="宋体" w:cs="宋体"/>
                <w:szCs w:val="21"/>
              </w:rPr>
            </w:pPr>
            <w:r>
              <w:rPr>
                <w:rFonts w:hint="eastAsia" w:ascii="宋体" w:hAnsi="宋体" w:cs="宋体"/>
                <w:szCs w:val="21"/>
              </w:rPr>
              <w:t>84000元</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center"/>
              <w:rPr>
                <w:rFonts w:ascii="宋体" w:hAnsi="宋体" w:cs="宋体"/>
                <w:szCs w:val="21"/>
              </w:rPr>
            </w:pPr>
            <w:r>
              <w:rPr>
                <w:rFonts w:hint="eastAsia" w:ascii="宋体" w:hAnsi="宋体" w:cs="宋体"/>
                <w:szCs w:val="21"/>
              </w:rPr>
              <w:t>192000元</w:t>
            </w:r>
          </w:p>
        </w:tc>
        <w:tc>
          <w:tcPr>
            <w:tcW w:w="212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center"/>
              <w:rPr>
                <w:rFonts w:ascii="宋体" w:hAnsi="宋体" w:cs="宋体"/>
                <w:szCs w:val="21"/>
              </w:rPr>
            </w:pPr>
            <w:r>
              <w:rPr>
                <w:rFonts w:hint="eastAsia" w:ascii="宋体" w:hAnsi="宋体" w:cs="宋体"/>
                <w:szCs w:val="21"/>
              </w:rPr>
              <w:t>36000元</w:t>
            </w:r>
          </w:p>
        </w:tc>
      </w:tr>
    </w:tbl>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A．①③     B．①④      C．②③</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D．②④</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hint="eastAsia" w:ascii="宋体" w:hAnsi="宋体" w:cs="宋体"/>
          <w:b/>
          <w:bCs/>
          <w:szCs w:val="21"/>
        </w:rPr>
        <w:t>1</w:t>
      </w:r>
      <w:r>
        <w:rPr>
          <w:rFonts w:ascii="宋体" w:hAnsi="宋体" w:cs="宋体"/>
          <w:b/>
          <w:bCs/>
          <w:szCs w:val="21"/>
        </w:rPr>
        <w:t>5</w:t>
      </w:r>
      <w:r>
        <w:rPr>
          <w:rFonts w:hint="eastAsia" w:ascii="宋体" w:hAnsi="宋体" w:cs="宋体"/>
          <w:b/>
          <w:bCs/>
          <w:szCs w:val="21"/>
        </w:rPr>
        <w:t>．</w:t>
      </w:r>
      <w:r>
        <w:rPr>
          <w:rFonts w:hint="eastAsia" w:ascii="宋体" w:hAnsi="宋体" w:cs="宋体"/>
          <w:szCs w:val="21"/>
        </w:rPr>
        <w:t>2022年4月2日，据上海清算所消息，华为投资控股有限公司发布公告称，经公司内部有权机构决议，拟向股东分配股利人民币614.04亿元。华为年报显示，公司员工持股计划参与人数为131507人，平均每人分红46.69万元。员工持股参与公司的分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①提高了员工收入中按劳分配的比重         ②是生产要素按贡献参与分配的体现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③有助于调动广大公司员工的劳动积极性     ④发挥了再分配的调节机制缩小收入差距</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b/>
          <w:bCs/>
          <w:szCs w:val="21"/>
        </w:rPr>
      </w:pPr>
      <w:r>
        <w:rPr>
          <w:rFonts w:hint="eastAsia" w:ascii="宋体" w:hAnsi="宋体" w:cs="宋体"/>
          <w:szCs w:val="21"/>
        </w:rPr>
        <w:t xml:space="preserve">A．①②   </w:t>
      </w:r>
      <w:r>
        <w:rPr>
          <w:rFonts w:hint="eastAsia" w:ascii="宋体" w:hAnsi="宋体" w:cs="宋体"/>
          <w:szCs w:val="21"/>
          <w:lang w:val="en-US" w:eastAsia="zh-CN"/>
        </w:rPr>
        <w:t xml:space="preserve">  </w:t>
      </w:r>
      <w:r>
        <w:rPr>
          <w:rFonts w:hint="eastAsia" w:ascii="宋体" w:hAnsi="宋体" w:cs="宋体"/>
          <w:szCs w:val="21"/>
        </w:rPr>
        <w:t xml:space="preserve"> B．①④  </w:t>
      </w:r>
      <w:r>
        <w:rPr>
          <w:rFonts w:hint="eastAsia" w:ascii="宋体" w:hAnsi="宋体" w:cs="宋体"/>
          <w:szCs w:val="21"/>
          <w:lang w:val="en-US" w:eastAsia="zh-CN"/>
        </w:rPr>
        <w:t xml:space="preserve"> </w:t>
      </w:r>
      <w:r>
        <w:rPr>
          <w:rFonts w:hint="eastAsia" w:ascii="宋体" w:hAnsi="宋体" w:cs="宋体"/>
          <w:szCs w:val="21"/>
        </w:rPr>
        <w:t xml:space="preserve">   C．②③       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ascii="楷体" w:hAnsi="楷体" w:eastAsia="楷体" w:cs="楷体"/>
        </w:rPr>
      </w:pPr>
      <w:r>
        <w:rPr>
          <w:rFonts w:hint="eastAsia"/>
          <w:lang w:val="en-US" w:eastAsia="zh-CN"/>
        </w:rPr>
        <w:t>16</w:t>
      </w:r>
      <w:r>
        <w:t>．</w:t>
      </w:r>
      <w:r>
        <w:rPr>
          <w:rFonts w:ascii="楷体" w:hAnsi="楷体" w:eastAsia="楷体" w:cs="楷体"/>
        </w:rPr>
        <w:t>2022年7月29日，国务院办公厅印发了《关于进一步规范行政裁量权基准制定和管理工作的意见》（以下简称《意见》）。</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ascii="楷体" w:hAnsi="楷体" w:eastAsia="楷体" w:cs="楷体"/>
        </w:rPr>
      </w:pPr>
      <w:r>
        <w:rPr>
          <w:rFonts w:ascii="楷体" w:hAnsi="楷体" w:eastAsia="楷体" w:cs="楷体"/>
        </w:rPr>
        <w:t>《意见》通过对行政裁量权基准的制定主体、职责权限、制发程序、监督管理等作出明确规定，着力规范行政裁量权的行使，有针对性地解决行政执法领域存在的畸轻畸重、类案不同罚等问题，有利于维护人民群众切身利益，让人民群众在每一项执法活动中看到风清气正，在每一项执法决定中感受到公平正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ascii="楷体" w:hAnsi="楷体" w:eastAsia="楷体" w:cs="楷体"/>
        </w:rPr>
      </w:pPr>
      <w:r>
        <w:rPr>
          <w:rFonts w:ascii="楷体" w:hAnsi="楷体" w:eastAsia="楷体" w:cs="楷体"/>
        </w:rPr>
        <w:t>《意见》通过规范行政裁量权的行使，有助于推动行政处罚公平公正，行政许可便捷高效、其他行政行为规范有序，对有效防止行业垄断，地方保护、市场分割，消除影响投资创业和要素流动的“隐性壁垒"，维护公平竞争的市场秩序具有重要作用，有利于进一步激发各类市场主体活力。</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pPr>
      <w:r>
        <w:t>结合材料，运用寻觅社会真谛的知识，分析国务院出台《进一步规范行政裁量权基准制定和管理工作的意见》的原因。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2" w:firstLineChars="200"/>
        <w:jc w:val="left"/>
        <w:textAlignment w:val="auto"/>
        <w:rPr>
          <w:rFonts w:ascii="宋体" w:hAnsi="宋体" w:eastAsia="宋体" w:cs="宋体"/>
          <w:b/>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auto"/>
        <w:rPr>
          <w:rFonts w:ascii="宋体" w:hAnsi="宋体" w:eastAsia="宋体" w:cs="宋体"/>
          <w:b/>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2" w:firstLineChars="200"/>
        <w:jc w:val="left"/>
        <w:textAlignment w:val="auto"/>
        <w:rPr>
          <w:rFonts w:ascii="楷体" w:hAnsi="楷体" w:eastAsia="楷体" w:cs="楷体"/>
        </w:rPr>
      </w:pPr>
      <w:r>
        <w:rPr>
          <w:rFonts w:hint="eastAsia" w:ascii="楷体" w:hAnsi="楷体" w:eastAsia="楷体" w:cs="楷体"/>
          <w:b/>
          <w:bCs/>
        </w:rPr>
        <w:t>★（选做题）</w:t>
      </w:r>
      <w:r>
        <w:rPr>
          <w:rFonts w:hint="eastAsia"/>
          <w:lang w:val="en-US" w:eastAsia="zh-CN"/>
        </w:rPr>
        <w:t>17</w:t>
      </w:r>
      <w:r>
        <w:t>．</w:t>
      </w:r>
      <w:r>
        <w:rPr>
          <w:rFonts w:ascii="楷体" w:hAnsi="楷体" w:eastAsia="楷体" w:cs="楷体"/>
        </w:rPr>
        <w:t>伟大出自平凡，平凡造就伟大。把每一项平凡工作做好，就是不凡；所有的不凡，无不基于平凡的日积月累。曾获全国五一劳动奖章的李文强，手握“不起眼”的焊枪，却凭借不服输的韧劲，成功掌握核工业生产精密设备的自主加工制造技术，填补了国内技术领域的空白；“敦煌女儿”樊锦诗数十年如一日扎根敦煌，矢志不移，“只要一息尚存，就要为敦煌努力”，为世界文化遗产敦煌莫高窟永久保存与永续利用作出重大贡献……一个个先进事迹生动诠释着：只要有坚定的理想信念、不懈的奋斗精神，脚踏实地把每件平凡的事做好，一切平凡的人都可以获得不平凡的人生，一切平凡的工作都可以创造不平凡的成就。</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ascii="楷体" w:hAnsi="楷体" w:eastAsia="楷体" w:cs="楷体"/>
        </w:rPr>
      </w:pPr>
      <w:r>
        <w:rPr>
          <w:rFonts w:ascii="楷体" w:hAnsi="楷体" w:eastAsia="楷体" w:cs="楷体"/>
        </w:rPr>
        <w:t>榜样是看得见的哲理，先进典型是鲜活的价值引领。实现中华民族伟大复兴，是一项光荣而艰巨的事业，需要每一个人付出艰苦努力。让我们以先进典型为表率，以榜样为标杆，不采华名、不兴伪事，脚踏实地、锐意进取，恪尽职守、担当尽责，在新征程上不断书写新的璀璨篇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宋体" w:hAnsi="宋体" w:eastAsia="宋体" w:cs="宋体"/>
        </w:rPr>
      </w:pPr>
      <w:r>
        <w:rPr>
          <w:rFonts w:hint="eastAsia" w:ascii="宋体" w:hAnsi="宋体" w:eastAsia="宋体" w:cs="宋体"/>
        </w:rPr>
        <w:t>结合《哲学与文化》知识，以“榜样引领，立志笃行”为主题写一篇发言稿提纲：①围绕主题，观点明确；②论证充分，逻辑清晰；③学科术语使用规范；④总字数在200-300个左右。</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宋体" w:hAnsi="宋体" w:eastAsia="宋体" w:cs="宋体"/>
        </w:rPr>
      </w:pPr>
      <w:bookmarkStart w:id="0" w:name="_GoBack"/>
      <w:bookmarkEnd w:id="0"/>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黑体" w:hAnsi="黑体" w:eastAsia="黑体" w:cs="宋体"/>
          <w:b/>
          <w:bCs/>
          <w:kern w:val="0"/>
          <w:sz w:val="28"/>
          <w:szCs w:val="28"/>
        </w:rPr>
      </w:pPr>
      <w:r>
        <w:rPr>
          <w:rFonts w:hint="eastAsia" w:ascii="黑体" w:hAnsi="黑体" w:eastAsia="黑体" w:cs="宋体"/>
          <w:b/>
          <w:bCs/>
          <w:kern w:val="0"/>
          <w:sz w:val="28"/>
          <w:szCs w:val="28"/>
        </w:rPr>
        <w:t>备用练习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422"/>
        <w:gridCol w:w="1422"/>
        <w:gridCol w:w="1423"/>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题号</w:t>
            </w: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1</w:t>
            </w: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2</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3</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4</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5</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答案</w:t>
            </w: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题号</w:t>
            </w: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7</w:t>
            </w: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8</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9</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10</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11</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答案</w:t>
            </w: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hint="eastAsia" w:ascii="宋体" w:hAnsi="宋体" w:cs="宋体"/>
          <w:b/>
          <w:bCs/>
          <w:szCs w:val="21"/>
        </w:rPr>
        <w:t>1．</w:t>
      </w:r>
      <w:r>
        <w:rPr>
          <w:rFonts w:hint="eastAsia" w:ascii="宋体" w:hAnsi="宋体" w:cs="宋体"/>
          <w:szCs w:val="21"/>
        </w:rPr>
        <w:t>《今晚报》发表的《全过程民主——人民民主的时代命题》一文认为，发展全过程人民民主，是中国民主新路的历史逻辑必然。中国共产党自成立之日起，就以争取和实现人民民主为己任，领导人民浴血奋斗、艰辛探索，形成了一整套人民当家作主的体制机制、原则和方法。下列对于全过程人民民主理解正确的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①我国人民民主专政的国家性质决定全过程人民民主的全民性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②发展全过程人民民主，要彰显最广泛、最真实、最管用的特点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③全过程人民民主是中国特色社会主义最本质的特征和最大优势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④人民代表大会制度，是发展全过程人民民主的可靠制度保障</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A．①②  </w:t>
      </w:r>
      <w:r>
        <w:rPr>
          <w:rFonts w:ascii="宋体" w:hAnsi="宋体" w:cs="宋体"/>
          <w:szCs w:val="21"/>
        </w:rPr>
        <w:t xml:space="preserve">   </w:t>
      </w:r>
      <w:r>
        <w:rPr>
          <w:rFonts w:hint="eastAsia" w:ascii="宋体" w:hAnsi="宋体" w:cs="宋体"/>
          <w:szCs w:val="21"/>
        </w:rPr>
        <w:t xml:space="preserve">  B．①③      C．②④      D．③④</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hint="eastAsia" w:ascii="宋体" w:hAnsi="宋体" w:cs="宋体"/>
          <w:b/>
          <w:bCs/>
          <w:szCs w:val="21"/>
        </w:rPr>
        <w:t>2．</w:t>
      </w:r>
      <w:r>
        <w:rPr>
          <w:rFonts w:hint="eastAsia" w:ascii="宋体" w:hAnsi="宋体" w:cs="宋体"/>
          <w:szCs w:val="21"/>
        </w:rPr>
        <w:t>有人指出:“每位人大代表都应发挥一‘盏灯’的作用，敢于照亮自己，也乐于照亮别人，要勇立潮头，会当经济发展的参谋员，勇当经济发展的监督员，善当经济发展的推动员。”这需要人大代表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①密切联系群众，广泛听取和反映人民群众的意见    ②积极行使提案权，为经济发展建言献策</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③积极行使立法权，完善我国的法律体系            ④发挥好先锋模范带头作用，做到依法行政</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A．①②     B．③④     C．②④      D．②③</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ascii="宋体" w:hAnsi="宋体" w:cs="宋体"/>
          <w:b/>
          <w:bCs/>
          <w:szCs w:val="21"/>
        </w:rPr>
        <w:t>3</w:t>
      </w:r>
      <w:r>
        <w:rPr>
          <w:rFonts w:hint="eastAsia" w:ascii="宋体" w:hAnsi="宋体" w:cs="宋体"/>
          <w:b/>
          <w:bCs/>
          <w:szCs w:val="21"/>
        </w:rPr>
        <w:t>．</w:t>
      </w:r>
      <w:r>
        <w:rPr>
          <w:rFonts w:hint="eastAsia" w:ascii="宋体" w:hAnsi="宋体" w:cs="宋体"/>
          <w:szCs w:val="21"/>
        </w:rPr>
        <w:t>中国特色社会主义进入新时代，多党合作要有新气象，思想共识要有新提高，履职尽责要有新作为，参政党要有新面貌，使新时代多党合作展现出勃勃生机。新时代多党合作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①必须以政治领导和政治认同为根本的活动准则</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②要发挥人民政协作为协商民主重要渠道的作用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③坚持民主党派与中国共产党的监督与被监督关系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④需要执政党提高执政能力和参政党提高参政本领</w:t>
      </w:r>
    </w:p>
    <w:p>
      <w:pPr>
        <w:keepNext w:val="0"/>
        <w:keepLines w:val="0"/>
        <w:pageBreakBefore w:val="0"/>
        <w:widowControl w:val="0"/>
        <w:tabs>
          <w:tab w:val="left" w:pos="1458"/>
          <w:tab w:val="left" w:pos="4153"/>
          <w:tab w:val="left" w:pos="6229"/>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A．②④</w:t>
      </w:r>
      <w:r>
        <w:rPr>
          <w:rFonts w:hint="eastAsia" w:ascii="宋体" w:hAnsi="宋体" w:cs="宋体"/>
          <w:szCs w:val="21"/>
        </w:rPr>
        <w:tab/>
      </w:r>
      <w:r>
        <w:rPr>
          <w:rFonts w:hint="eastAsia" w:ascii="宋体" w:hAnsi="宋体" w:cs="宋体"/>
          <w:szCs w:val="21"/>
        </w:rPr>
        <w:t>B．③④</w:t>
      </w:r>
      <w:r>
        <w:rPr>
          <w:rFonts w:ascii="宋体" w:hAnsi="宋体" w:cs="宋体"/>
          <w:szCs w:val="21"/>
        </w:rPr>
        <w:t xml:space="preserve">      </w:t>
      </w:r>
      <w:r>
        <w:rPr>
          <w:rFonts w:hint="eastAsia" w:ascii="宋体" w:hAnsi="宋体" w:cs="宋体"/>
          <w:szCs w:val="21"/>
        </w:rPr>
        <w:t>C．①②</w:t>
      </w:r>
      <w:r>
        <w:rPr>
          <w:rFonts w:hint="eastAsia" w:ascii="宋体" w:hAnsi="宋体" w:cs="宋体"/>
          <w:szCs w:val="21"/>
        </w:rPr>
        <w:tab/>
      </w:r>
      <w:r>
        <w:rPr>
          <w:rFonts w:hint="eastAsia" w:ascii="宋体" w:hAnsi="宋体" w:cs="宋体"/>
          <w:szCs w:val="21"/>
        </w:rPr>
        <w:t>D．①③</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ascii="宋体" w:hAnsi="宋体" w:cs="宋体"/>
          <w:b/>
          <w:bCs/>
          <w:szCs w:val="21"/>
        </w:rPr>
        <w:t>4</w:t>
      </w:r>
      <w:r>
        <w:rPr>
          <w:rFonts w:hint="eastAsia" w:ascii="宋体" w:hAnsi="宋体" w:cs="宋体"/>
          <w:b/>
          <w:bCs/>
          <w:szCs w:val="21"/>
        </w:rPr>
        <w:t>．</w:t>
      </w:r>
      <w:r>
        <w:rPr>
          <w:rFonts w:hint="eastAsia" w:ascii="宋体" w:hAnsi="宋体" w:cs="宋体"/>
          <w:szCs w:val="21"/>
        </w:rPr>
        <w:t>改革开放以来，随着党和国家事业的蓬勃发展，人民政协事业不断发展壮大。全国、省、市、县四级政协组织3000多个，各级政协委员60多万。人民政协认真贯彻党的理论和路线方针政策，为促进改革开放、战胜特大自然灾害、应对国际金融危机冲击、保持经济平稳较快发展、促进祖国和平统一贡献了智慧和力量。由此可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A．人民政协作为国家机关，是促进国家发展的重要力量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B．人民政协发挥组织经济建设和促进社会协调发展的国家职能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C．人民政协围绕民主与发展主题，发挥爱国统一战线组织的作用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D．人民政协聚焦党和国家中心任务，资政建言、贡献智慧</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ascii="宋体" w:hAnsi="宋体" w:cs="宋体"/>
          <w:b/>
          <w:bCs/>
          <w:szCs w:val="21"/>
        </w:rPr>
        <w:t>5</w:t>
      </w:r>
      <w:r>
        <w:rPr>
          <w:rFonts w:hint="eastAsia" w:ascii="宋体" w:hAnsi="宋体" w:cs="宋体"/>
          <w:b/>
          <w:bCs/>
          <w:szCs w:val="21"/>
        </w:rPr>
        <w:t>．</w:t>
      </w:r>
      <w:r>
        <w:rPr>
          <w:rFonts w:hint="eastAsia" w:ascii="宋体" w:hAnsi="宋体" w:cs="宋体"/>
          <w:szCs w:val="21"/>
        </w:rPr>
        <w:t>2022年3月1日起正式实施的《新疆维吾尔自治区乡村振兴促进条例》明确规定：各级人民政府应当健全完善防止返贫动态监测预警和帮扶机制，加强农村低收入人口常态化帮扶，实现巩固拓展脱贫攻坚成果同乡村振兴有效衔接。这一规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①是基于共同富裕是民族区域自治制度的核心内容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②有利于增强民族凝聚力，铸牢中华民族共同体意识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③助力我国早日形成平等团结互助和谐的社会主义民族关系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④是坚持民族共同繁荣、共同发展、共同富裕的必然要求</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A．②④      B．①②      C．③④</w:t>
      </w:r>
      <w:r>
        <w:rPr>
          <w:rFonts w:hint="eastAsia" w:ascii="宋体" w:hAnsi="宋体" w:cs="宋体"/>
          <w:szCs w:val="21"/>
        </w:rPr>
        <w:tab/>
      </w:r>
      <w:r>
        <w:rPr>
          <w:rFonts w:hint="eastAsia" w:ascii="宋体" w:hAnsi="宋体" w:cs="宋体"/>
          <w:szCs w:val="21"/>
        </w:rPr>
        <w:t>D．①③</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ascii="宋体" w:hAnsi="宋体" w:cs="宋体"/>
          <w:b/>
          <w:bCs/>
          <w:szCs w:val="21"/>
        </w:rPr>
        <w:t>6</w:t>
      </w:r>
      <w:r>
        <w:rPr>
          <w:rFonts w:hint="eastAsia" w:ascii="宋体" w:hAnsi="宋体" w:cs="宋体"/>
          <w:b/>
          <w:bCs/>
          <w:szCs w:val="21"/>
        </w:rPr>
        <w:t>．</w:t>
      </w:r>
      <w:r>
        <w:rPr>
          <w:rFonts w:hint="eastAsia" w:ascii="宋体" w:hAnsi="宋体" w:cs="宋体"/>
          <w:szCs w:val="21"/>
        </w:rPr>
        <w:t>基层治理是国家治理的基石，统筹推进乡镇（街道）和城乡社区治理，是实现国家治理体系和治理能力现代化的基础工程。《中共中央国务院关于加强基层治理体系和治理能力现代化建设的意见》的主要目标明确提出力争用5年左右时间，建立起党组织统一领导、政府依法履责、各类组织积极协同、群众广泛参与，自治、法治、德治相结合的基层治理体系。该目标的意义在于</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①发挥各类组织在基层自治中的主体作用，从而巩固基层政权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②健全党总揽全局、协调各方，全面领导基层治理的制度体系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③发挥社会力量的作用，创新基层群众自治组织形式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④强化基层政权组织在基层治理现代化建设中的主导性作用</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A．①②    B．①③</w:t>
      </w:r>
      <w:r>
        <w:rPr>
          <w:rFonts w:hint="eastAsia" w:ascii="宋体" w:hAnsi="宋体" w:cs="宋体"/>
          <w:szCs w:val="21"/>
        </w:rPr>
        <w:tab/>
      </w:r>
      <w:r>
        <w:rPr>
          <w:rFonts w:hint="eastAsia" w:ascii="宋体" w:hAnsi="宋体" w:cs="宋体"/>
          <w:szCs w:val="21"/>
        </w:rPr>
        <w:t xml:space="preserve">      C．②④</w:t>
      </w:r>
      <w:r>
        <w:rPr>
          <w:rFonts w:hint="eastAsia" w:ascii="宋体" w:hAnsi="宋体" w:cs="宋体"/>
          <w:szCs w:val="21"/>
        </w:rPr>
        <w:tab/>
      </w:r>
      <w:r>
        <w:rPr>
          <w:rFonts w:hint="eastAsia" w:ascii="宋体" w:hAnsi="宋体" w:cs="宋体"/>
          <w:szCs w:val="21"/>
        </w:rPr>
        <w:t>D．③④</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ascii="宋体" w:hAnsi="宋体" w:cs="宋体"/>
          <w:b/>
          <w:bCs/>
          <w:szCs w:val="21"/>
        </w:rPr>
        <w:t>7</w:t>
      </w:r>
      <w:r>
        <w:rPr>
          <w:rFonts w:hint="eastAsia" w:ascii="宋体" w:hAnsi="宋体" w:cs="宋体"/>
          <w:b/>
          <w:bCs/>
          <w:szCs w:val="21"/>
        </w:rPr>
        <w:t>．</w:t>
      </w:r>
      <w:r>
        <w:rPr>
          <w:rFonts w:hint="eastAsia" w:ascii="宋体" w:hAnsi="宋体" w:cs="宋体"/>
          <w:szCs w:val="21"/>
        </w:rPr>
        <w:t>全国公安机关按照全国扫黑除恶专项斗争总体部署和公安部“云剑”行动具体要求，继续加大对“套路贷”违法犯罪行为的打击力度，打掉“套路贷”团伙开发使用的非法放贷App、非法网络借贷平台，查扣犯罪团伙银行账号及第三方支付平台的涉案资金并进行依法追缴，打掉专门从事非法催收业务的职业催讨团伙并对其进行依法处理。由此可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A．法律具有阶级性，反映社会绝大多数人的意志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B．法律具有强制性，违法行为必被追究法律责任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C．法律具有全民性，维护全体公民一切权益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D．法在国家治理中既具有管理职能又具有社会职能</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ascii="宋体" w:hAnsi="宋体" w:cs="宋体"/>
          <w:b/>
          <w:bCs/>
          <w:szCs w:val="21"/>
        </w:rPr>
        <w:t>8</w:t>
      </w:r>
      <w:r>
        <w:rPr>
          <w:rFonts w:hint="eastAsia" w:ascii="宋体" w:hAnsi="宋体" w:cs="宋体"/>
          <w:b/>
          <w:bCs/>
          <w:szCs w:val="21"/>
        </w:rPr>
        <w:t>．</w:t>
      </w:r>
      <w:r>
        <w:rPr>
          <w:rFonts w:hint="eastAsia" w:ascii="宋体" w:hAnsi="宋体" w:cs="宋体"/>
          <w:szCs w:val="21"/>
        </w:rPr>
        <w:t>《广东省优化营商环境条例》于2022年7月1日起正式施行。目前，广东已有序出台社会信用条例、数字经济促进条例等营商环境领域的专项法规，修订自主创新促进条例和促进中小企业发展条例。地市层面，广州、深圳、汕头、湛江、佛山市已出台实施本市优化营商环境条例。广东这样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①是坚持依法治国，建设法治政府的要求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②有利于提高政府服务意识，打造便民利民政府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③有利于推动政府简政放权，建设廉洁高效的政府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④有利于建设执法严明的政府，促进政府科学决策</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A．①②     B．①④       C．②③</w:t>
      </w:r>
      <w:r>
        <w:rPr>
          <w:rFonts w:hint="eastAsia" w:ascii="宋体" w:hAnsi="宋体" w:cs="宋体"/>
          <w:szCs w:val="21"/>
        </w:rPr>
        <w:tab/>
      </w:r>
      <w:r>
        <w:rPr>
          <w:rFonts w:hint="eastAsia" w:ascii="宋体" w:hAnsi="宋体" w:cs="宋体"/>
          <w:szCs w:val="21"/>
        </w:rPr>
        <w:t>D．③④</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ascii="宋体" w:hAnsi="宋体" w:cs="宋体"/>
          <w:b/>
          <w:bCs/>
          <w:szCs w:val="21"/>
        </w:rPr>
        <w:t>9</w:t>
      </w:r>
      <w:r>
        <w:rPr>
          <w:rFonts w:hint="eastAsia" w:ascii="宋体" w:hAnsi="宋体" w:cs="宋体"/>
          <w:b/>
          <w:bCs/>
          <w:szCs w:val="21"/>
        </w:rPr>
        <w:t>．</w:t>
      </w:r>
      <w:r>
        <w:rPr>
          <w:rFonts w:hint="eastAsia" w:ascii="宋体" w:hAnsi="宋体" w:cs="宋体"/>
          <w:szCs w:val="21"/>
        </w:rPr>
        <w:t>习近平总书记作出的“切实培养节约习惯，在全社会营造浪费可耻、节约为荣的氛围”重要指示在全社会引发共鸣，越来越多的人加入到“光盘行动”中，“舌尖上的浪费”现象大有改观。这说明</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①世界观决定方法论，并指导人们的行动    ②世界观是总的观点，方法论是具体知识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③世界观和方法论是同一问题的两个方面    ④哲学是科学的世界观与方法论的统一</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A．①②     B．①③</w:t>
      </w:r>
      <w:r>
        <w:rPr>
          <w:rFonts w:hint="eastAsia" w:ascii="宋体" w:hAnsi="宋体" w:cs="宋体"/>
          <w:szCs w:val="21"/>
        </w:rPr>
        <w:tab/>
      </w:r>
      <w:r>
        <w:rPr>
          <w:rFonts w:hint="eastAsia" w:ascii="宋体" w:hAnsi="宋体" w:cs="宋体"/>
          <w:szCs w:val="21"/>
        </w:rPr>
        <w:t xml:space="preserve">      C．②④</w:t>
      </w:r>
      <w:r>
        <w:rPr>
          <w:rFonts w:hint="eastAsia" w:ascii="宋体" w:hAnsi="宋体" w:cs="宋体"/>
          <w:szCs w:val="21"/>
        </w:rPr>
        <w:tab/>
      </w:r>
      <w:r>
        <w:rPr>
          <w:rFonts w:hint="eastAsia" w:ascii="宋体" w:hAnsi="宋体" w:cs="宋体"/>
          <w:szCs w:val="21"/>
        </w:rPr>
        <w:t>D．③④</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hint="eastAsia" w:ascii="宋体" w:hAnsi="宋体" w:cs="宋体"/>
          <w:b/>
          <w:bCs/>
          <w:szCs w:val="21"/>
          <w:lang w:val="en-US" w:eastAsia="zh-CN"/>
        </w:rPr>
        <w:t>1</w:t>
      </w:r>
      <w:r>
        <w:rPr>
          <w:rFonts w:ascii="宋体" w:hAnsi="宋体" w:cs="宋体"/>
          <w:b/>
          <w:bCs/>
          <w:szCs w:val="21"/>
        </w:rPr>
        <w:t>0</w:t>
      </w:r>
      <w:r>
        <w:rPr>
          <w:rFonts w:hint="eastAsia" w:ascii="宋体" w:hAnsi="宋体" w:cs="宋体"/>
          <w:b/>
          <w:bCs/>
          <w:szCs w:val="21"/>
        </w:rPr>
        <w:t>．</w:t>
      </w:r>
      <w:r>
        <w:rPr>
          <w:rFonts w:hint="eastAsia" w:ascii="宋体" w:hAnsi="宋体" w:cs="宋体"/>
          <w:szCs w:val="21"/>
        </w:rPr>
        <w:t>下列各选项中，体现围绕哲学基本问题而产生的哲学基本派别对立的是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①“心病终须心药治，解铃还须系铃人”与“天不变，道亦不变”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②“世界是一团永恒燃烧的活火”与“仁义礼智，非由外铄我也，我固有之也”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③“天地合而万物生，阴阳接而变化起”与“形存则神存，形谢则神灭”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④“阴阳二气充满太虚，此外更无他物”与“世界是自我创造的非我”</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A．①②     B．②④      C．②③       D．③④</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宋体" w:hAnsi="宋体" w:cs="宋体"/>
          <w:szCs w:val="21"/>
        </w:rPr>
      </w:pPr>
      <w:r>
        <w:rPr>
          <w:rFonts w:hint="eastAsia" w:ascii="宋体" w:hAnsi="宋体" w:cs="宋体"/>
          <w:b/>
          <w:bCs/>
          <w:szCs w:val="21"/>
          <w:lang w:val="en-US" w:eastAsia="zh-CN"/>
        </w:rPr>
        <w:t>1</w:t>
      </w:r>
      <w:r>
        <w:rPr>
          <w:rFonts w:ascii="宋体" w:hAnsi="宋体" w:cs="宋体"/>
          <w:b/>
          <w:bCs/>
          <w:szCs w:val="21"/>
        </w:rPr>
        <w:t>1</w:t>
      </w:r>
      <w:r>
        <w:rPr>
          <w:rFonts w:hint="eastAsia" w:ascii="宋体" w:hAnsi="宋体" w:cs="宋体"/>
          <w:b/>
          <w:bCs/>
          <w:szCs w:val="21"/>
        </w:rPr>
        <w:t>．</w:t>
      </w:r>
      <w:r>
        <w:rPr>
          <w:rFonts w:hint="eastAsia" w:ascii="宋体" w:hAnsi="宋体" w:cs="宋体"/>
          <w:szCs w:val="21"/>
        </w:rPr>
        <w:t>列宁在《唯物主义和经验批判主义》中说：马克思和恩格斯在他们的著作中特别强调的是“辩证”唯物主义，而不是辩证“唯物主义”，特别坚持的是“历史”唯物主义，而不是历史“唯物主义”。以下有关马克思主义哲学的评价，符合列宁这一论述的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①实现了自然观和历史观的科学统一 </w:t>
      </w:r>
      <w:r>
        <w:rPr>
          <w:rFonts w:ascii="宋体" w:hAnsi="宋体" w:cs="宋体"/>
          <w:szCs w:val="21"/>
        </w:rPr>
        <w:t xml:space="preserve">     </w:t>
      </w:r>
      <w:r>
        <w:rPr>
          <w:rFonts w:hint="eastAsia" w:ascii="宋体" w:hAnsi="宋体" w:cs="宋体"/>
          <w:szCs w:val="21"/>
        </w:rPr>
        <w:t>②把实践观放在哲学的首要观点位置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③把辩证法的观点贯彻到社会历史领域 </w:t>
      </w:r>
      <w:r>
        <w:rPr>
          <w:rFonts w:ascii="宋体" w:hAnsi="宋体" w:cs="宋体"/>
          <w:szCs w:val="21"/>
        </w:rPr>
        <w:t xml:space="preserve">   </w:t>
      </w:r>
      <w:r>
        <w:rPr>
          <w:rFonts w:hint="eastAsia" w:ascii="宋体" w:hAnsi="宋体" w:cs="宋体"/>
          <w:szCs w:val="21"/>
        </w:rPr>
        <w:t>④克服了近代形而上学唯物主义的缺陷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ascii="宋体" w:hAnsi="宋体" w:cs="宋体"/>
          <w:szCs w:val="21"/>
        </w:rPr>
      </w:pPr>
      <w:r>
        <w:rPr>
          <w:rFonts w:hint="eastAsia" w:ascii="宋体" w:hAnsi="宋体" w:cs="宋体"/>
          <w:szCs w:val="21"/>
        </w:rPr>
        <w:t xml:space="preserve">A．①② </w:t>
      </w:r>
      <w:r>
        <w:rPr>
          <w:rFonts w:ascii="宋体" w:hAnsi="宋体" w:cs="宋体"/>
          <w:szCs w:val="21"/>
        </w:rPr>
        <w:t xml:space="preserve"> </w:t>
      </w:r>
      <w:r>
        <w:rPr>
          <w:rFonts w:hint="eastAsia" w:ascii="宋体" w:hAnsi="宋体" w:cs="宋体"/>
          <w:szCs w:val="21"/>
        </w:rPr>
        <w:tab/>
      </w:r>
      <w:r>
        <w:rPr>
          <w:rFonts w:hint="eastAsia" w:ascii="宋体" w:hAnsi="宋体" w:cs="宋体"/>
          <w:szCs w:val="21"/>
        </w:rPr>
        <w:t>B．②③</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C．①③ </w:t>
      </w:r>
      <w:r>
        <w:rPr>
          <w:rFonts w:ascii="宋体" w:hAnsi="宋体" w:cs="宋体"/>
          <w:szCs w:val="21"/>
        </w:rPr>
        <w:t xml:space="preserve">    </w:t>
      </w:r>
      <w:r>
        <w:rPr>
          <w:rFonts w:hint="eastAsia" w:ascii="宋体" w:hAnsi="宋体" w:cs="宋体"/>
          <w:szCs w:val="21"/>
        </w:rPr>
        <w:tab/>
      </w:r>
      <w:r>
        <w:rPr>
          <w:rFonts w:hint="eastAsia" w:ascii="宋体" w:hAnsi="宋体" w:cs="宋体"/>
          <w:szCs w:val="21"/>
        </w:rPr>
        <w:t>D．③④</w:t>
      </w:r>
    </w:p>
    <w:sectPr>
      <w:footerReference r:id="rId3" w:type="default"/>
      <w:footerReference r:id="rId4" w:type="even"/>
      <w:pgSz w:w="11907" w:h="16839"/>
      <w:pgMar w:top="1440" w:right="1080" w:bottom="1440" w:left="1080" w:header="851" w:footer="992" w:gutter="0"/>
      <w:pgNumType w:fmt="decimal" w:start="1"/>
      <w:cols w:space="126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326B1"/>
    <w:rsid w:val="00043B54"/>
    <w:rsid w:val="000729DA"/>
    <w:rsid w:val="000F47DA"/>
    <w:rsid w:val="001C1A9F"/>
    <w:rsid w:val="001D7A06"/>
    <w:rsid w:val="001E181C"/>
    <w:rsid w:val="00207F75"/>
    <w:rsid w:val="0025274A"/>
    <w:rsid w:val="00284433"/>
    <w:rsid w:val="002A1EC6"/>
    <w:rsid w:val="002E035E"/>
    <w:rsid w:val="002E6299"/>
    <w:rsid w:val="00346B1F"/>
    <w:rsid w:val="0041489B"/>
    <w:rsid w:val="00497536"/>
    <w:rsid w:val="00514C87"/>
    <w:rsid w:val="005C67A9"/>
    <w:rsid w:val="005E5AF1"/>
    <w:rsid w:val="006B16C5"/>
    <w:rsid w:val="006D141B"/>
    <w:rsid w:val="00775C73"/>
    <w:rsid w:val="00784B95"/>
    <w:rsid w:val="008224FB"/>
    <w:rsid w:val="008459A2"/>
    <w:rsid w:val="009435A1"/>
    <w:rsid w:val="009B2ED5"/>
    <w:rsid w:val="00AD1DB1"/>
    <w:rsid w:val="00B55630"/>
    <w:rsid w:val="00B96959"/>
    <w:rsid w:val="00BF535F"/>
    <w:rsid w:val="00C63501"/>
    <w:rsid w:val="00C806B0"/>
    <w:rsid w:val="00CB22F1"/>
    <w:rsid w:val="00D156AB"/>
    <w:rsid w:val="00D76273"/>
    <w:rsid w:val="00D90C9C"/>
    <w:rsid w:val="00DC714B"/>
    <w:rsid w:val="00EF035E"/>
    <w:rsid w:val="05047E2F"/>
    <w:rsid w:val="0AED5E4B"/>
    <w:rsid w:val="0D477493"/>
    <w:rsid w:val="0DAF5F8B"/>
    <w:rsid w:val="0E762590"/>
    <w:rsid w:val="1D1A77FF"/>
    <w:rsid w:val="27904CE7"/>
    <w:rsid w:val="2A8332AA"/>
    <w:rsid w:val="35BC18F6"/>
    <w:rsid w:val="3DB552D0"/>
    <w:rsid w:val="45945FA7"/>
    <w:rsid w:val="4A975269"/>
    <w:rsid w:val="4F126F47"/>
    <w:rsid w:val="51AE05EC"/>
    <w:rsid w:val="586E5DD1"/>
    <w:rsid w:val="598D0A05"/>
    <w:rsid w:val="5CE66F43"/>
    <w:rsid w:val="60C92C46"/>
    <w:rsid w:val="659B20E3"/>
    <w:rsid w:val="68DD74D8"/>
    <w:rsid w:val="727E70E6"/>
    <w:rsid w:val="76F34AE4"/>
    <w:rsid w:val="7C902056"/>
    <w:rsid w:val="7F4A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54B87-3A8E-44CD-97DB-EFF178B0281E}">
  <ds:schemaRefs/>
</ds:datastoreItem>
</file>

<file path=docProps/app.xml><?xml version="1.0" encoding="utf-8"?>
<Properties xmlns="http://schemas.openxmlformats.org/officeDocument/2006/extended-properties" xmlns:vt="http://schemas.openxmlformats.org/officeDocument/2006/docPropsVTypes">
  <Template>Normal</Template>
  <Pages>4</Pages>
  <Words>3025</Words>
  <Characters>3124</Characters>
  <Lines>53</Lines>
  <Paragraphs>14</Paragraphs>
  <TotalTime>1</TotalTime>
  <ScaleCrop>false</ScaleCrop>
  <LinksUpToDate>false</LinksUpToDate>
  <CharactersWithSpaces>3456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cp:lastModifiedBy>
  <dcterms:modified xsi:type="dcterms:W3CDTF">2022-11-10T14:32:40Z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2052-11.1.0.12763</vt:lpwstr>
  </property>
  <property fmtid="{D5CDD505-2E9C-101B-9397-08002B2CF9AE}" pid="4" name="ICV">
    <vt:lpwstr>0761A73C12E6433D881A0083E18418DE</vt:lpwstr>
  </property>
</Properties>
</file>