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F6" w:rsidRDefault="00A30A9C" w:rsidP="0030166F">
      <w:pPr>
        <w:tabs>
          <w:tab w:val="left" w:pos="2702"/>
        </w:tabs>
        <w:spacing w:line="360" w:lineRule="auto"/>
        <w:jc w:val="center"/>
        <w:rPr>
          <w:rFonts w:ascii="黑体" w:eastAsia="黑体" w:hAnsi="黑体" w:cs="宋体"/>
          <w:b/>
          <w:bCs/>
          <w:sz w:val="28"/>
          <w:szCs w:val="28"/>
        </w:rPr>
      </w:pPr>
      <w:bookmarkStart w:id="0" w:name="_GoBack"/>
      <w:bookmarkEnd w:id="0"/>
      <w:r>
        <w:rPr>
          <w:rFonts w:ascii="黑体" w:eastAsia="黑体" w:hAnsi="黑体" w:cs="宋体" w:hint="eastAsia"/>
          <w:b/>
          <w:bCs/>
          <w:sz w:val="28"/>
          <w:szCs w:val="28"/>
        </w:rPr>
        <w:t>江苏省仪征中学</w:t>
      </w:r>
      <w:r w:rsidR="008C796D">
        <w:rPr>
          <w:rFonts w:ascii="黑体" w:eastAsia="黑体" w:hAnsi="黑体" w:cs="宋体" w:hint="eastAsia"/>
          <w:b/>
          <w:bCs/>
          <w:sz w:val="28"/>
          <w:szCs w:val="28"/>
        </w:rPr>
        <w:t>2022-2023学年度第一学期高三</w:t>
      </w:r>
      <w:r>
        <w:rPr>
          <w:rFonts w:ascii="黑体" w:eastAsia="黑体" w:hAnsi="黑体" w:cs="宋体" w:hint="eastAsia"/>
          <w:b/>
          <w:bCs/>
          <w:sz w:val="28"/>
          <w:szCs w:val="28"/>
        </w:rPr>
        <w:t xml:space="preserve">政治学科提升性练习 </w:t>
      </w:r>
    </w:p>
    <w:p w:rsidR="00A30A9C" w:rsidRDefault="00A30A9C" w:rsidP="0030166F">
      <w:pPr>
        <w:tabs>
          <w:tab w:val="left" w:pos="2702"/>
        </w:tabs>
        <w:spacing w:line="360" w:lineRule="auto"/>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w:t>
      </w:r>
      <w:r w:rsidR="00B251C2">
        <w:rPr>
          <w:rFonts w:ascii="楷体" w:eastAsia="楷体" w:hAnsi="楷体" w:cs="宋体" w:hint="eastAsia"/>
          <w:bCs/>
        </w:rPr>
        <w:t>曹淑莹</w:t>
      </w:r>
    </w:p>
    <w:p w:rsidR="00AB20F6" w:rsidRDefault="00A30A9C" w:rsidP="0030166F">
      <w:pPr>
        <w:tabs>
          <w:tab w:val="left" w:pos="2702"/>
        </w:tabs>
        <w:spacing w:line="360" w:lineRule="auto"/>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4C7CC1">
        <w:rPr>
          <w:rFonts w:ascii="楷体" w:eastAsia="楷体" w:hAnsi="楷体" w:cs="宋体" w:hint="eastAsia"/>
          <w:bCs/>
          <w:u w:val="single"/>
        </w:rPr>
        <w:t>10.8</w:t>
      </w:r>
    </w:p>
    <w:p w:rsidR="004C7CC1" w:rsidRDefault="004C7CC1" w:rsidP="004C7CC1">
      <w:pPr>
        <w:spacing w:line="276" w:lineRule="auto"/>
        <w:rPr>
          <w:rFonts w:ascii="宋体" w:hAnsi="宋体" w:cs="宋体"/>
          <w:b/>
        </w:rPr>
      </w:pPr>
      <w:r>
        <w:rPr>
          <w:rFonts w:ascii="宋体" w:hAnsi="宋体" w:cs="宋体"/>
          <w:b/>
          <w:sz w:val="21"/>
        </w:rPr>
        <w:t>一、单选题</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空想社会主义者要么停留于理论上的批判，要么止步于对未来乌托邦的美好憧憬，并没有找到解决问题的现实路径，所以只能停留于空想。而马克思深刻指出：“批判的武器当然不能代替武器的批判，物质力量只能用物质力量来摧毁；但是理论一经掌握群众，也会变成物质力量。”对此理解正确的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①马克思主义是始终站在时代前沿不断发展的理论</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②空想社会主义者没有找到消灭资本主义社会的强大力量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③空想社会主义者揭露和批判了资本家剥削工人的秘密</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④马克思主义揭示了阶级斗争是社会变革的正确途径</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2．1945年，由鲁迅艺术学院创作的歌剧《白毛女》在延安公演。这部20世纪40年代的歌剧，是抗日战争末期在中国共产党控制的解放区创作的一部具有深远历史影响的文艺作品，描写了遭受地主家庭剥削压迫的婢女喜儿逃入荒野，变成幽灵似的白毛仙姑，后被八路军搭救和讨还血债的故事。喜儿的故事是(　 　)</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A．当时农民苦难命运与反抗精神的艺术再现</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B．《白毛女》作者个人生活经历的真实写照</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C．对当时中国广大农村社会百态的原始记录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D．重现当时日益尖锐的民族矛盾的最直接证据</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3．作为庆祝中国共产党成立100周年优秀电视剧展播剧目，《觉醒年代》一经播出，就引发了广大观众的热烈关注。“一百年以后的中国，必会证明我今天的观点，社会主义绝不会辜负中国!”革命先驱李大钊的激昂话语，诉说着中国共产党人发现真理的喜悦。以下能体现“社会主义没有辜负中国”的是(　 　)</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①1921年中国共产党的诞生，从根本上改变了中国社会的发展方向</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②1956年社会主义改造的基本完成，标志着新中国的诞生，中国人民站起来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③改革开放，迎来了生产力的飞速发展，中国人民富起来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④脱贫攻坚战的胜利，充分彰显社会主义制度集中力量办大事的优势</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B．③④</w:t>
      </w:r>
      <w:r w:rsidRPr="004C7CC1">
        <w:rPr>
          <w:rFonts w:ascii="宋体" w:hAnsi="宋体" w:cs="宋体" w:hint="eastAsia"/>
          <w:sz w:val="21"/>
          <w:szCs w:val="21"/>
        </w:rPr>
        <w:tab/>
        <w:t>C．②③</w:t>
      </w:r>
      <w:r w:rsidRPr="004C7CC1">
        <w:rPr>
          <w:rFonts w:ascii="宋体" w:hAnsi="宋体" w:cs="宋体" w:hint="eastAsia"/>
          <w:sz w:val="21"/>
          <w:szCs w:val="21"/>
        </w:rPr>
        <w:tab/>
        <w:t>D．①④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4．习近平总书记指出，坚持好、发展好中国特色社会主义，把我国建设成为社会主义现代化强国，是一项长期任务，需要一代又一代人接续奋斗。作为新时代的见证者、开创者、建设者，广大青年必须(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①不忘初心，牢记使命，肩负起国家和民族的希望</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②以战天斗地的精神状态和一往无前的奋斗姿态奋进新时代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③一以贯之开创和发展中国特色社会主义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④开新局于伟大的社会革命，强体魄于伟大的自我革命</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5．多地多部门近期频频施策，围绕水利、交通、市政设施、养老托育等领域，鼓励和吸引更多社会资本进入。通过发挥重大项目牵引和政府投资撬动作用，调动民间投资积极性。这是因为(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 xml:space="preserve">①非公有制经济是我国社会主义经济的重要组成部分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②各种所有制经济有权依法平等使用各种资源要素</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 xml:space="preserve">③非公有制经济在推动社会建设方面具有重要作用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④大力发展非公有制经济是我国经济制度的独特优势</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6．2020年4月8日，武汉市宣布解封，标志着此次新冠肺炎疫情基本解除并进入全国复工复产新阶段。在不到三个月的时间里，中国政府通过统一调度抗疫物资、进行社区管控、抢建专门医院和改建方舱医院等措施，迅速有效地控制住了疫情，令全球惊叹。纽约时报、CNN、路透社等国际大媒体纷纷表示，也只有中国这个经济体能有如此效率。由此可见(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①我国的各种所有制主体都能公开公平公正地参与竞争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②我国坚决打赢疫情防控阻击战体现了社会主义的根本原则</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③能够实行科学的宏观调控是社会主义市场经济的基本特征之一</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④有些公共产品必须由国家提供，社会主义中国能很好做到这一点</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7．2020年10月26日至29日,中国共产党第十九届中央委员会第五次全体会议在北京举行。全会提出，全面深化改革，构建高水平社会主义市场经济体制。充分发挥市场在资源配置中的决定性作用，更好发挥政府作用，推动有效市场和有为政府更好结合，激发各类市场主体活力，完善宏观经济治理。下列对“高水平社会主义市场经济体制”理解正确的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A．宏观调控科学、政府治理有效的经济体制</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B．充分发挥市场的基础作用,更好发挥政府的作用</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C．基本实现新型工业化信息化,建成现代化经济体系</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D．市场机制有效、微观主体有活力、宏观调控有度</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8．我国养老保险体系包括基本养老保险、企业年金、个人养老金等三部分。2022年4月，《国务院办公厅关于推动个人养老金发展的意见》提出，推动发展适合中国国情、政府政策支持、个人自愿参加、市场化运营的个人养老金，实现养老保险补充功能。我国推动个人养老金发展是基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①个人养老金是保障社会成员生活安全的“最后一道防线”</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②个人养老金通过发挥社会互助功能推动社会持续健康发展</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③个人养老金可以满足人民群众多层次多样化养老保险需求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④推动个人养老金发展有利于我国社会保障事业高质量发展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9．在当地政府的扶持下，2020年柳州螺蛳粉产值超百亿元，创造就业岗位30多万个，产品远销海外20多个国家和地区，一碗小小的螺蛳粉，是中国民营企业锐意发展的生动缩影，也是中国持续支持民营经济发展的鲜活注脚。这说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①非公有制经济是推动经济社会发展的重要力量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②非公有制经济积极承担社会责任，回报社会</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③政府进行宏观调控，完善市场体系消除市场藩篱</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④政府积极履行职能，推动非公有制经济可持续发展</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A．②③</w:t>
      </w:r>
      <w:r w:rsidRPr="004C7CC1">
        <w:rPr>
          <w:rFonts w:ascii="宋体" w:hAnsi="宋体" w:cs="宋体" w:hint="eastAsia"/>
          <w:sz w:val="21"/>
          <w:szCs w:val="21"/>
        </w:rPr>
        <w:tab/>
        <w:t>B．①④</w:t>
      </w:r>
      <w:r w:rsidRPr="004C7CC1">
        <w:rPr>
          <w:rFonts w:ascii="宋体" w:hAnsi="宋体" w:cs="宋体" w:hint="eastAsia"/>
          <w:sz w:val="21"/>
          <w:szCs w:val="21"/>
        </w:rPr>
        <w:tab/>
        <w:t>C．①③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10．《华严经》有言：不忘初心、方的始终。意思是说一个人做事情，如果能够始终如一地保持当初的信念，最后就一定能得到成功，习近平总书记在众多场合曾多次强调坚持“不忘初心、继续前进”。坚持不忘初心、继续前进，需要中国共产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①牢记党的根本宗旨，全心全意为人民服务</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②坚持人民主体地位，保障人民各项合法权益</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③坚持维护党中央权威的根本立场，坚持执政为民</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④把党的自身的特殊利益和人民的根本利益结合起来</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11．2022年6月30日，中宣部举行“中国这十年”系列主题新闻发布会，介绍了全面从严治党的有关情况：党的十八大以来，截至今年4月底，全国纪检监察机关共立案审查调查470.9万人；查处违反中央八项规定精神问题72.3万起，给予党纪政务处分64.4万人；查处民生领域腐败和作风问题49.6万个，给予党纪政务处分45.6万人。全面从严治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①是党始终走在时代前列，永葆生机活力的法宝</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②有利于密切党群干群关系，厚植党的执政根基</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③关系党的先进性，纯洁性，关系党的生死存亡</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④有利于完善党的执政方式，提高党的行政能力</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12．2022年6月12日起，唐山市委、市政府开展了社会治安整治“雷霆风暴”专项行动，把打击锋芒对准群众反映强烈、社会影响恶劣的犯罪活动，出重拳，用重典，惩恶务尽，绝不手软，以雷霆万钧之势尽锐出战、决战决胜。此项行动的开展(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①是我国人民民主专政的社会主义国家性质的要求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②说明人民当家作主是社会主义国家的本质属性</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③是政府在处理人民内部矛盾，履行促进社会发展的职能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④有利于净化社会治安环境，保障人民的生命财产安全</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13．2022年7月26日，鹤山市人大常委会开展《中华人民共和国水法》和《广东省实施《中华人民共和国水法》办法》执法检查，先后到宅梧、共和、沙坪街道三个镇（街）实地察看“一法一办法”宣传、普法及贯彻落实情况。这表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①人大常委会统领经济社会发展全局</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②人大常委会行使监督权以保障法律落地</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③人大常委会落实了民主集中制原则</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④地方政府及其各部门权力是由人大常委会赋予</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14．《中国共产党政治协商工作条例》第一次以党内法规的形式对中国共产党政治协商工作提出新的要求和部署，为政治协商工作科学化、制度化、规范化提供了根本遵循，对于坚持和完善中国共产党领导的多党合作和政治协商制度，巩固和发展爱国统一战线，具有重要意义。这要求各民主党派(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①提高政治协商能力，做中国共产党的好参谋</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②须继续履行作为爱国统一战线组织的职能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③明确属性定位，充分发挥好参政党作用</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④增强合作共事能力，主持决定各级国家事务</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A．①③</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D．②④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15．屋场恳谈会是县、乡、村三级干部走进屋场，干群面对面“零距离”听意见、讲政策，推动民意在群众家门口听取、难题在群众家门口解决。屋场恳谈会(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①发挥了村委会的领导核心作用，引领基层自治</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②创新了乡村治理的手段，推进基层治理现代化</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③密切干群关系，反映群众诉求，协调各方利益</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④有利于村民直接管理国家事务，实现当家作主</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16．《深圳经济特区医疗条例》修订版将于2023年1月1日施行。该条例对于“生前预嘱”设置了专门规定，医疗机构在患者不可治愈的伤病末期或者临终时实施医疗措施，应当尊重患者生前预嘱的意思表示：有采取或不采取插管、心肺复苏等创伤性抢救措施，使用或不使用生命支持系统等。该条例的修订体现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①生命权是公民基本政治权利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②坚持以人为本的法治精神</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③平等是社会主义法律的基本属性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noProof/>
          <w:sz w:val="21"/>
          <w:szCs w:val="21"/>
        </w:rPr>
        <w:drawing>
          <wp:anchor distT="0" distB="0" distL="114300" distR="114300" simplePos="0" relativeHeight="251659264" behindDoc="0" locked="0" layoutInCell="1" allowOverlap="1" wp14:anchorId="3886C293" wp14:editId="24E359F8">
            <wp:simplePos x="0" y="0"/>
            <wp:positionH relativeFrom="column">
              <wp:posOffset>4003675</wp:posOffset>
            </wp:positionH>
            <wp:positionV relativeFrom="paragraph">
              <wp:posOffset>5715</wp:posOffset>
            </wp:positionV>
            <wp:extent cx="2228850" cy="1657350"/>
            <wp:effectExtent l="0" t="0" r="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228850" cy="1657350"/>
                    </a:xfrm>
                    <a:prstGeom prst="rect">
                      <a:avLst/>
                    </a:prstGeom>
                  </pic:spPr>
                </pic:pic>
              </a:graphicData>
            </a:graphic>
          </wp:anchor>
        </w:drawing>
      </w:r>
      <w:r w:rsidRPr="004C7CC1">
        <w:rPr>
          <w:rFonts w:ascii="宋体" w:hAnsi="宋体" w:cs="宋体" w:hint="eastAsia"/>
          <w:sz w:val="21"/>
          <w:szCs w:val="21"/>
        </w:rPr>
        <w:t>④对患者人权的尊重和保障</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   B．①③     C．②④      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17．漫画《挡箭牌》给我们政府的启示是(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①坚持执政为民，做到以人为本</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②完善行政执法体制，创新执法监督方式</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③应依法履行好保护环境的基本职能</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④牢记利为民谋，坚持求真务实</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18．历经多次修改和审议后，新修订的《中华人民共和国体育法》终于在2022年6月审议通过。本次修订是该法自1995年颁布施行后，时隔近27年进行的第一次全面系统的修订，面对新形势、新情况、新问题，体育法修订从法律层面上解决了体育领域重大的基础性、整体性问题。体育法的修订体现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①随着社会发展，法律的普遍约束力降低</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②科学立法要符合实际、顺应时代发展要求</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③只有良法才能最大限度发挥法律的效力</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④依法治国是中国特色社会主义最本质特征</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19．在法治政府建设中，从国务院及地方人民政府均制定出台了重大行政决策程序法规和规章，到依法大幅取消和下放行政审批事项，彻底废除非行政许可审批，全面实施“五证合一”“一照一码”商事登记制度，再到加快推进互联网政务信息数据服务平台建设。这一系列政策的实施有利于(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①提高政府依法、民主、科学决策的水平</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②提升行政执法水平，维护公平正义</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③提高行政服务水平，实现善政</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④打造智能高效、廉洁诚信的政府</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B．①③</w:t>
      </w:r>
      <w:r w:rsidRPr="004C7CC1">
        <w:rPr>
          <w:rFonts w:ascii="宋体" w:hAnsi="宋体" w:cs="宋体" w:hint="eastAsia"/>
          <w:sz w:val="21"/>
          <w:szCs w:val="21"/>
        </w:rPr>
        <w:tab/>
        <w:t>C．②④</w:t>
      </w:r>
      <w:r w:rsidRPr="004C7CC1">
        <w:rPr>
          <w:rFonts w:ascii="宋体" w:hAnsi="宋体" w:cs="宋体" w:hint="eastAsia"/>
          <w:sz w:val="21"/>
          <w:szCs w:val="21"/>
        </w:rPr>
        <w:tab/>
        <w:t>D．③④</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lastRenderedPageBreak/>
        <w:t>20．纪录片《红色法庭百年志》沿着中国共产党党史的脉络，再现百年来人民审判机关在党的领导下不断探索、勇毅前行的足迹，特别呈现了关心青少年成长的尚秀云、扎根农村基层法庭的周淑琴、探索司法改革之路的邹碧华、秉公执法遇害青年法官周春梅等令人动容的人物群像。该纪录片主要彰显了(　 　)</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①党的领导是推进全面依法治国的根本保证</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②国家治理体系和治理能力是法治的重要依托</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③公正司法是中国特色社会主义法律体系的核心</w:t>
      </w:r>
    </w:p>
    <w:p w:rsidR="004C7CC1" w:rsidRPr="004C7CC1" w:rsidRDefault="004C7CC1" w:rsidP="004C7CC1">
      <w:pPr>
        <w:spacing w:line="276" w:lineRule="auto"/>
        <w:ind w:firstLineChars="200" w:firstLine="420"/>
        <w:rPr>
          <w:rFonts w:ascii="宋体" w:hAnsi="宋体" w:cs="宋体"/>
          <w:sz w:val="21"/>
          <w:szCs w:val="21"/>
        </w:rPr>
      </w:pPr>
      <w:r w:rsidRPr="004C7CC1">
        <w:rPr>
          <w:rFonts w:ascii="宋体" w:hAnsi="宋体" w:cs="宋体" w:hint="eastAsia"/>
          <w:sz w:val="21"/>
          <w:szCs w:val="21"/>
        </w:rPr>
        <w:t>④司法审判系统司法为民、勇于创新的精神风貌</w:t>
      </w:r>
    </w:p>
    <w:p w:rsidR="004C7CC1" w:rsidRPr="004C7CC1" w:rsidRDefault="004C7CC1" w:rsidP="004C7CC1">
      <w:pPr>
        <w:tabs>
          <w:tab w:val="left" w:pos="2078"/>
          <w:tab w:val="left" w:pos="4156"/>
          <w:tab w:val="left" w:pos="6234"/>
        </w:tabs>
        <w:spacing w:line="276" w:lineRule="auto"/>
        <w:ind w:firstLineChars="200" w:firstLine="420"/>
        <w:rPr>
          <w:rFonts w:ascii="宋体" w:hAnsi="宋体" w:cs="宋体"/>
          <w:sz w:val="21"/>
          <w:szCs w:val="21"/>
        </w:rPr>
      </w:pPr>
      <w:r w:rsidRPr="004C7CC1">
        <w:rPr>
          <w:rFonts w:ascii="宋体" w:hAnsi="宋体" w:cs="宋体" w:hint="eastAsia"/>
          <w:sz w:val="21"/>
          <w:szCs w:val="21"/>
        </w:rPr>
        <w:t>A．①②</w:t>
      </w:r>
      <w:r w:rsidRPr="004C7CC1">
        <w:rPr>
          <w:rFonts w:ascii="宋体" w:hAnsi="宋体" w:cs="宋体" w:hint="eastAsia"/>
          <w:sz w:val="21"/>
          <w:szCs w:val="21"/>
        </w:rPr>
        <w:tab/>
        <w:t>B．①④</w:t>
      </w:r>
      <w:r w:rsidRPr="004C7CC1">
        <w:rPr>
          <w:rFonts w:ascii="宋体" w:hAnsi="宋体" w:cs="宋体" w:hint="eastAsia"/>
          <w:sz w:val="21"/>
          <w:szCs w:val="21"/>
        </w:rPr>
        <w:tab/>
        <w:t>C．②③</w:t>
      </w:r>
      <w:r w:rsidRPr="004C7CC1">
        <w:rPr>
          <w:rFonts w:ascii="宋体" w:hAnsi="宋体" w:cs="宋体" w:hint="eastAsia"/>
          <w:sz w:val="21"/>
          <w:szCs w:val="21"/>
        </w:rPr>
        <w:tab/>
        <w:t>D．③④</w:t>
      </w:r>
    </w:p>
    <w:p w:rsidR="004C7CC1" w:rsidRPr="004C7CC1" w:rsidRDefault="004C7CC1" w:rsidP="004C7CC1">
      <w:pPr>
        <w:tabs>
          <w:tab w:val="left" w:pos="2078"/>
          <w:tab w:val="left" w:pos="4156"/>
          <w:tab w:val="left" w:pos="6234"/>
        </w:tabs>
        <w:spacing w:line="276" w:lineRule="auto"/>
        <w:rPr>
          <w:rFonts w:ascii="宋体" w:hAnsi="宋体" w:cs="宋体"/>
          <w:sz w:val="21"/>
          <w:szCs w:val="21"/>
        </w:rPr>
      </w:pPr>
      <w:r w:rsidRPr="004C7CC1">
        <w:rPr>
          <w:rFonts w:ascii="宋体" w:hAnsi="宋体" w:cs="宋体"/>
          <w:sz w:val="21"/>
          <w:szCs w:val="21"/>
        </w:rPr>
        <w:t>二、</w:t>
      </w:r>
      <w:r w:rsidRPr="004C7CC1">
        <w:rPr>
          <w:rFonts w:ascii="宋体" w:hAnsi="宋体" w:cs="宋体" w:hint="eastAsia"/>
          <w:sz w:val="21"/>
          <w:szCs w:val="21"/>
        </w:rPr>
        <w:t>主观题</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21．材料一  近年来，湖北在全国率先开展职务科技成果赋权、科技成果评价、科技人才评价等改革试点，聚焦光电科学、空天科技、生物育种等优势产业，加强关键核心技术攻关，以企业为主体，以市场为导向，不断强化产学研用深度合作，畅通高校院所与企业对接渠道，将科教优势转化为创新优势、发展优势，奋力谱写新时代湖北高质量发展新篇章。</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45"/>
        <w:gridCol w:w="2400"/>
        <w:gridCol w:w="2250"/>
        <w:gridCol w:w="2265"/>
        <w:gridCol w:w="2040"/>
      </w:tblGrid>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时间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湖北省地区生产总值</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湖北省全年技术合同成交金额</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ind w:firstLine="420"/>
              <w:rPr>
                <w:rFonts w:ascii="宋体" w:hAnsi="宋体" w:cs="宋体"/>
                <w:sz w:val="21"/>
                <w:szCs w:val="21"/>
              </w:rPr>
            </w:pPr>
            <w:r w:rsidRPr="004C7CC1">
              <w:rPr>
                <w:rFonts w:ascii="宋体" w:hAnsi="宋体" w:cs="宋体"/>
                <w:sz w:val="21"/>
                <w:szCs w:val="21"/>
              </w:rPr>
              <w:t>湖北省规模以上高新技术产业增加值</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湖北省高新技术产业占GDP的比重</w:t>
            </w:r>
          </w:p>
        </w:tc>
      </w:tr>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2012年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22250.16亿</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235亿</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2960亿</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13.3%</w:t>
            </w:r>
          </w:p>
        </w:tc>
      </w:tr>
      <w:tr w:rsidR="004C7CC1" w:rsidRPr="004C7CC1" w:rsidTr="009437DA">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2021年</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50012.94亿</w:t>
            </w:r>
          </w:p>
        </w:tc>
        <w:tc>
          <w:tcPr>
            <w:tcW w:w="22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2112亿</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10196亿</w:t>
            </w:r>
          </w:p>
        </w:tc>
        <w:tc>
          <w:tcPr>
            <w:tcW w:w="2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7CC1" w:rsidRPr="004C7CC1" w:rsidRDefault="004C7CC1" w:rsidP="009437DA">
            <w:pPr>
              <w:spacing w:line="276" w:lineRule="auto"/>
              <w:rPr>
                <w:rFonts w:ascii="宋体" w:hAnsi="宋体" w:cs="宋体"/>
                <w:sz w:val="21"/>
                <w:szCs w:val="21"/>
              </w:rPr>
            </w:pPr>
            <w:r w:rsidRPr="004C7CC1">
              <w:rPr>
                <w:rFonts w:ascii="宋体" w:hAnsi="宋体" w:cs="宋体"/>
                <w:sz w:val="21"/>
                <w:szCs w:val="21"/>
              </w:rPr>
              <w:t>20.63%</w:t>
            </w:r>
          </w:p>
        </w:tc>
      </w:tr>
    </w:tbl>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材料二  武汉华工激光工程有限责任公司联合华中科技大学及产业链上下游企业，产学研用协同攻关，用15年时间研发出高质高效激光加工装备及激光自动化焊接生产线，打破了国外垄断，目前国内市场占有率已达90%。武汉华工激光的发展，展现的正是湖北发挥科教资源优势、实施产学研用协同创新、推进科技自立自强的发展历程。</w:t>
      </w:r>
    </w:p>
    <w:p w:rsidR="004C7CC1" w:rsidRPr="004C7CC1" w:rsidRDefault="004C7CC1" w:rsidP="004C7CC1">
      <w:pPr>
        <w:spacing w:line="276" w:lineRule="auto"/>
        <w:rPr>
          <w:rFonts w:ascii="宋体" w:hAnsi="宋体" w:cs="宋体"/>
          <w:sz w:val="21"/>
          <w:szCs w:val="21"/>
        </w:rPr>
      </w:pPr>
      <w:r w:rsidRPr="004C7CC1">
        <w:rPr>
          <w:rFonts w:ascii="宋体" w:hAnsi="宋体" w:cs="宋体"/>
          <w:sz w:val="21"/>
          <w:szCs w:val="21"/>
        </w:rPr>
        <w:t>结合材料并运用经济与社会知识，说明产学研用协同创新是如何为湖北经济高质量发展注入强劲动能的。</w:t>
      </w: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jc w:val="center"/>
        <w:rPr>
          <w:rFonts w:ascii="宋体" w:hAnsi="宋体" w:cs="宋体"/>
          <w:sz w:val="21"/>
          <w:szCs w:val="21"/>
        </w:rPr>
      </w:pPr>
    </w:p>
    <w:p w:rsidR="004C7CC1" w:rsidRPr="004C7CC1" w:rsidRDefault="004C7CC1" w:rsidP="004C7CC1">
      <w:pPr>
        <w:spacing w:line="276" w:lineRule="auto"/>
        <w:rPr>
          <w:rFonts w:ascii="宋体" w:hAnsi="宋体" w:cs="宋体"/>
          <w:sz w:val="21"/>
          <w:szCs w:val="21"/>
        </w:rPr>
      </w:pPr>
      <w:r w:rsidRPr="004C7CC1">
        <w:rPr>
          <w:rFonts w:ascii="宋体" w:hAnsi="宋体" w:cs="宋体"/>
          <w:sz w:val="21"/>
          <w:szCs w:val="21"/>
        </w:rPr>
        <w:t>22．基层强则国家强，基层安则天下安。近年来，各地不断加强基层法治建设，夯实基层治理根基。</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材料一  苏州市委印发的《关于全面加强基层法治建设提升基层依法治理水平的实施意见》明确要求，紧紧压实党政主要负责人推进基层法治建设责任，落实基层党政主要负责人学法制度和法治轮训，强化基层法治建设督察考核机制。</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材料二  北京市昌平区把普法宣传、法律援助等职能延伸到农村。通过LED大屏、微信公众号、宣传栏等平台大力开展普法宣传，营造浓厚的学法、用法氛围。开展“法律服务进村居”活动，邀请律师、法官、司法所工作人员为村民提供各类免费法律咨询，并为有法律援助需求的群众及时办理手续，时刻坚持将法律援助贴近基层、将服务群众放在心上。</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lastRenderedPageBreak/>
        <w:t>材料三  内蒙古准格尔旗在实践中探索出“村民说事室”与“法治美丽乡村建设矛盾调处中心”，曾经嚷闹吵架的群众有了可以说事议事解决事的地方。如有纠纷，村民可通过村、镇、旗矛盾调处中心予以调处。经过三次调解仍不能调处的，引导进入诉讼程序，实现矛盾纠纷化解全过程始终在法治轨道内运行不跑偏。</w:t>
      </w:r>
    </w:p>
    <w:p w:rsidR="004C7CC1" w:rsidRPr="004C7CC1" w:rsidRDefault="004C7CC1" w:rsidP="004C7CC1">
      <w:pPr>
        <w:spacing w:line="276" w:lineRule="auto"/>
        <w:ind w:firstLine="420"/>
        <w:rPr>
          <w:rFonts w:ascii="宋体" w:hAnsi="宋体" w:cs="宋体"/>
          <w:sz w:val="21"/>
          <w:szCs w:val="21"/>
        </w:rPr>
      </w:pPr>
      <w:r w:rsidRPr="004C7CC1">
        <w:rPr>
          <w:rFonts w:ascii="宋体" w:hAnsi="宋体" w:cs="宋体"/>
          <w:sz w:val="21"/>
          <w:szCs w:val="21"/>
        </w:rPr>
        <w:t>结合材料，运用政治与法治的知识，谈谈各地加强基层法治建设的做法对我们的启示。</w:t>
      </w:r>
    </w:p>
    <w:p w:rsidR="004C7CC1" w:rsidRPr="004C7CC1" w:rsidRDefault="004C7CC1" w:rsidP="004C7CC1">
      <w:pPr>
        <w:spacing w:line="276" w:lineRule="auto"/>
        <w:rPr>
          <w:rFonts w:ascii="宋体" w:hAnsi="宋体" w:cs="宋体"/>
          <w:sz w:val="21"/>
          <w:szCs w:val="21"/>
        </w:rPr>
      </w:pPr>
    </w:p>
    <w:p w:rsidR="001A1E4A" w:rsidRPr="004C7CC1" w:rsidRDefault="001A1E4A" w:rsidP="004C7CC1">
      <w:pPr>
        <w:spacing w:line="288" w:lineRule="auto"/>
        <w:textAlignment w:val="center"/>
        <w:rPr>
          <w:rFonts w:ascii="宋体" w:hAnsi="宋体" w:cs="宋体"/>
          <w:sz w:val="21"/>
          <w:szCs w:val="21"/>
        </w:rPr>
      </w:pPr>
    </w:p>
    <w:sectPr w:rsidR="001A1E4A" w:rsidRPr="004C7CC1" w:rsidSect="00A30A9C">
      <w:footerReference w:type="default" r:id="rId9"/>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22" w:rsidRDefault="00756622" w:rsidP="006944C5">
      <w:r>
        <w:separator/>
      </w:r>
    </w:p>
  </w:endnote>
  <w:endnote w:type="continuationSeparator" w:id="0">
    <w:p w:rsidR="00756622" w:rsidRDefault="00756622" w:rsidP="0069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Page Numbers (Bottom of Page)"/>
        <w:docPartUnique/>
      </w:docPartObj>
    </w:sdtPr>
    <w:sdtEndPr/>
    <w:sdtContent>
      <w:p w:rsidR="006944C5" w:rsidRDefault="006944C5">
        <w:pPr>
          <w:pStyle w:val="a5"/>
          <w:jc w:val="center"/>
        </w:pPr>
        <w:r>
          <w:fldChar w:fldCharType="begin"/>
        </w:r>
        <w:r>
          <w:instrText>PAGE   \* MERGEFORMAT</w:instrText>
        </w:r>
        <w:r>
          <w:fldChar w:fldCharType="separate"/>
        </w:r>
        <w:r w:rsidR="0033569C" w:rsidRPr="0033569C">
          <w:rPr>
            <w:noProof/>
            <w:lang w:val="zh-CN"/>
          </w:rPr>
          <w:t>1</w:t>
        </w:r>
        <w:r>
          <w:fldChar w:fldCharType="end"/>
        </w:r>
      </w:p>
    </w:sdtContent>
  </w:sdt>
  <w:p w:rsidR="006944C5" w:rsidRDefault="006944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22" w:rsidRDefault="00756622" w:rsidP="006944C5">
      <w:r>
        <w:separator/>
      </w:r>
    </w:p>
  </w:footnote>
  <w:footnote w:type="continuationSeparator" w:id="0">
    <w:p w:rsidR="00756622" w:rsidRDefault="00756622" w:rsidP="0069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F852D"/>
    <w:multiLevelType w:val="singleLevel"/>
    <w:tmpl w:val="A68F852D"/>
    <w:lvl w:ilvl="0">
      <w:start w:val="1"/>
      <w:numFmt w:val="decimal"/>
      <w:suff w:val="nothing"/>
      <w:lvlText w:val="（%1）"/>
      <w:lvlJc w:val="left"/>
      <w:pPr>
        <w:ind w:left="0" w:firstLine="0"/>
      </w:pPr>
    </w:lvl>
  </w:abstractNum>
  <w:abstractNum w:abstractNumId="1">
    <w:nsid w:val="00B1F764"/>
    <w:multiLevelType w:val="singleLevel"/>
    <w:tmpl w:val="00B1F764"/>
    <w:lvl w:ilvl="0">
      <w:start w:val="18"/>
      <w:numFmt w:val="decimal"/>
      <w:suff w:val="nothing"/>
      <w:lvlText w:val="%1．"/>
      <w:lvlJc w:val="left"/>
      <w:pPr>
        <w:ind w:left="0" w:firstLine="0"/>
      </w:pPr>
    </w:lvl>
  </w:abstractNum>
  <w:abstractNum w:abstractNumId="2">
    <w:nsid w:val="74067FB3"/>
    <w:multiLevelType w:val="singleLevel"/>
    <w:tmpl w:val="74067FB3"/>
    <w:lvl w:ilvl="0">
      <w:start w:val="1"/>
      <w:numFmt w:val="decimal"/>
      <w:lvlText w:val="(%1)"/>
      <w:lvlJc w:val="left"/>
      <w:pPr>
        <w:tabs>
          <w:tab w:val="left" w:pos="312"/>
        </w:tabs>
      </w:pPr>
    </w:lvl>
  </w:abstractNum>
  <w:num w:numId="1">
    <w:abstractNumId w:val="1"/>
    <w:lvlOverride w:ilvl="0">
      <w:startOverride w:val="18"/>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7"/>
    <w:rsid w:val="00021BC4"/>
    <w:rsid w:val="0016004F"/>
    <w:rsid w:val="0017275C"/>
    <w:rsid w:val="0018102C"/>
    <w:rsid w:val="001A1E4A"/>
    <w:rsid w:val="001D44A2"/>
    <w:rsid w:val="00205D87"/>
    <w:rsid w:val="0030166F"/>
    <w:rsid w:val="00306543"/>
    <w:rsid w:val="0033569C"/>
    <w:rsid w:val="00346319"/>
    <w:rsid w:val="00377019"/>
    <w:rsid w:val="003B156B"/>
    <w:rsid w:val="004459F7"/>
    <w:rsid w:val="00447885"/>
    <w:rsid w:val="004C1402"/>
    <w:rsid w:val="004C7CC1"/>
    <w:rsid w:val="0056356B"/>
    <w:rsid w:val="00573CD1"/>
    <w:rsid w:val="005C7F24"/>
    <w:rsid w:val="00624FAA"/>
    <w:rsid w:val="006944C5"/>
    <w:rsid w:val="006A0BFE"/>
    <w:rsid w:val="006B2C21"/>
    <w:rsid w:val="00751D8F"/>
    <w:rsid w:val="00756622"/>
    <w:rsid w:val="007618CC"/>
    <w:rsid w:val="007D4314"/>
    <w:rsid w:val="007F550B"/>
    <w:rsid w:val="008714C4"/>
    <w:rsid w:val="00882369"/>
    <w:rsid w:val="008C796D"/>
    <w:rsid w:val="008E6DA5"/>
    <w:rsid w:val="00915F45"/>
    <w:rsid w:val="00917DBF"/>
    <w:rsid w:val="009328E9"/>
    <w:rsid w:val="00A30A9C"/>
    <w:rsid w:val="00A34ADF"/>
    <w:rsid w:val="00A62DA8"/>
    <w:rsid w:val="00A973C2"/>
    <w:rsid w:val="00AA0517"/>
    <w:rsid w:val="00AB20F6"/>
    <w:rsid w:val="00AB3A03"/>
    <w:rsid w:val="00AC3E33"/>
    <w:rsid w:val="00AE2A3C"/>
    <w:rsid w:val="00B251C2"/>
    <w:rsid w:val="00B7710C"/>
    <w:rsid w:val="00B83A91"/>
    <w:rsid w:val="00BC66D0"/>
    <w:rsid w:val="00BE4812"/>
    <w:rsid w:val="00BF60E4"/>
    <w:rsid w:val="00C76D04"/>
    <w:rsid w:val="00C80F89"/>
    <w:rsid w:val="00C93691"/>
    <w:rsid w:val="00CA7F67"/>
    <w:rsid w:val="00D35546"/>
    <w:rsid w:val="00DB1D14"/>
    <w:rsid w:val="00DE1561"/>
    <w:rsid w:val="00F5085B"/>
    <w:rsid w:val="00F75E36"/>
    <w:rsid w:val="00FA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2451">
      <w:bodyDiv w:val="1"/>
      <w:marLeft w:val="0"/>
      <w:marRight w:val="0"/>
      <w:marTop w:val="0"/>
      <w:marBottom w:val="0"/>
      <w:divBdr>
        <w:top w:val="none" w:sz="0" w:space="0" w:color="auto"/>
        <w:left w:val="none" w:sz="0" w:space="0" w:color="auto"/>
        <w:bottom w:val="none" w:sz="0" w:space="0" w:color="auto"/>
        <w:right w:val="none" w:sz="0" w:space="0" w:color="auto"/>
      </w:divBdr>
    </w:div>
    <w:div w:id="7737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2022-10-21T01:20:00Z</dcterms:created>
  <dcterms:modified xsi:type="dcterms:W3CDTF">2022-10-21T01:20:00Z</dcterms:modified>
</cp:coreProperties>
</file>