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F6" w:rsidRDefault="00A30A9C" w:rsidP="007D04D5">
      <w:pPr>
        <w:tabs>
          <w:tab w:val="left" w:pos="2702"/>
        </w:tabs>
        <w:spacing w:line="360" w:lineRule="exact"/>
        <w:jc w:val="center"/>
        <w:rPr>
          <w:rFonts w:ascii="黑体" w:eastAsia="黑体" w:hAnsi="黑体" w:cs="宋体"/>
          <w:b/>
          <w:bCs/>
          <w:sz w:val="28"/>
          <w:szCs w:val="28"/>
        </w:rPr>
      </w:pPr>
      <w:r>
        <w:rPr>
          <w:rFonts w:ascii="黑体" w:eastAsia="黑体" w:hAnsi="黑体" w:cs="宋体" w:hint="eastAsia"/>
          <w:b/>
          <w:bCs/>
          <w:sz w:val="28"/>
          <w:szCs w:val="28"/>
        </w:rPr>
        <w:t>江苏省仪征中学</w:t>
      </w:r>
      <w:r w:rsidR="008C796D">
        <w:rPr>
          <w:rFonts w:ascii="黑体" w:eastAsia="黑体" w:hAnsi="黑体" w:cs="宋体" w:hint="eastAsia"/>
          <w:b/>
          <w:bCs/>
          <w:sz w:val="28"/>
          <w:szCs w:val="28"/>
        </w:rPr>
        <w:t>2022-2023学年度第一学期高三</w:t>
      </w:r>
      <w:r>
        <w:rPr>
          <w:rFonts w:ascii="黑体" w:eastAsia="黑体" w:hAnsi="黑体" w:cs="宋体" w:hint="eastAsia"/>
          <w:b/>
          <w:bCs/>
          <w:sz w:val="28"/>
          <w:szCs w:val="28"/>
        </w:rPr>
        <w:t xml:space="preserve">政治学科提升性练习 </w:t>
      </w:r>
    </w:p>
    <w:p w:rsidR="00A30A9C" w:rsidRDefault="00A30A9C" w:rsidP="007D04D5">
      <w:pPr>
        <w:tabs>
          <w:tab w:val="left" w:pos="2702"/>
        </w:tabs>
        <w:spacing w:line="360" w:lineRule="exact"/>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w:t>
      </w:r>
      <w:r w:rsidR="00B251C2">
        <w:rPr>
          <w:rFonts w:ascii="楷体" w:eastAsia="楷体" w:hAnsi="楷体" w:cs="宋体" w:hint="eastAsia"/>
          <w:bCs/>
        </w:rPr>
        <w:t>曹淑莹</w:t>
      </w:r>
    </w:p>
    <w:p w:rsidR="00AB20F6" w:rsidRDefault="00A30A9C" w:rsidP="007D04D5">
      <w:pPr>
        <w:tabs>
          <w:tab w:val="left" w:pos="2702"/>
        </w:tabs>
        <w:spacing w:line="360" w:lineRule="exact"/>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7D04D5">
        <w:rPr>
          <w:rFonts w:ascii="楷体" w:eastAsia="楷体" w:hAnsi="楷体" w:cs="宋体" w:hint="eastAsia"/>
          <w:bCs/>
          <w:u w:val="single"/>
        </w:rPr>
        <w:t>10.29</w:t>
      </w:r>
    </w:p>
    <w:p w:rsidR="004C7CC1" w:rsidRDefault="004C7CC1" w:rsidP="007D04D5">
      <w:pPr>
        <w:spacing w:line="360" w:lineRule="exact"/>
        <w:rPr>
          <w:rFonts w:ascii="宋体" w:hAnsi="宋体" w:cs="宋体"/>
          <w:b/>
        </w:rPr>
      </w:pPr>
      <w:r>
        <w:rPr>
          <w:rFonts w:ascii="宋体" w:hAnsi="宋体" w:cs="宋体"/>
          <w:b/>
          <w:sz w:val="21"/>
        </w:rPr>
        <w:t>一、单选题</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关于建国以来党的若干历史问题的决议》指出：“对资本主义工商业，我们创造了委托加工、计划订货、统购包销、委托经销代销、公私合营、全行业公私合营等一系列从低级到高级的国家资本主义的过渡形式，最后实现了马克思和列宁曾经设想过的对资产阶级的和平赎买。”材料表明</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①上层建筑只要适应经济基础的状况，就能推动社会发展</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②我们</w:t>
      </w:r>
      <w:proofErr w:type="gramStart"/>
      <w:r w:rsidRPr="007D04D5">
        <w:rPr>
          <w:rFonts w:ascii="宋体" w:hAnsi="宋体" w:cs="宋体" w:hint="eastAsia"/>
          <w:sz w:val="21"/>
          <w:szCs w:val="21"/>
        </w:rPr>
        <w:t>党走出</w:t>
      </w:r>
      <w:proofErr w:type="gramEnd"/>
      <w:r w:rsidRPr="007D04D5">
        <w:rPr>
          <w:rFonts w:ascii="宋体" w:hAnsi="宋体" w:cs="宋体" w:hint="eastAsia"/>
          <w:sz w:val="21"/>
          <w:szCs w:val="21"/>
        </w:rPr>
        <w:t>了一条适合中国特点的社会主义改造道路</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③由资本主义进入社会主义可以通过和平的手段实现</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④我们党丰富和发展了马克思主义关于社会主义革命的理论</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B．①③</w:t>
      </w:r>
      <w:r w:rsidRPr="007D04D5">
        <w:rPr>
          <w:rFonts w:ascii="宋体" w:hAnsi="宋体" w:cs="宋体" w:hint="eastAsia"/>
          <w:sz w:val="21"/>
          <w:szCs w:val="21"/>
        </w:rPr>
        <w:tab/>
        <w:t>C．②④</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2．2022年3月5日，习近平总书记在参加十三届全国人大五次会议内蒙古代表团审议时指出，中国特色社会主义是实现中华民族伟大复兴的必由之路。只要始终不渝走中国特色社会主义道路，我们就一定能够不断实现人民对美好生活的向往，不断推进全体人民共同富裕。关于“中国特色社会主义是实现中华民族伟大复兴的必由之路”的原因理解不正确的是</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A．中国特色社会主义是科学社会主义理论逻辑和中国社会历史发展逻辑的辩证统一</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B．中国特色社会主义是适应中国和时代发展进步要求的科学社会主义</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C．中国特色社会主义是实现中华民族伟大复兴的唯一正确道路</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D．中国特色社会主义是党和人民在长期实践探索中形成的科学制度体系</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3．2022年7月21日，中宣部举行“奋进新征程  建功新时代”系列中外记者见面会，五位“最美基层高校毕业生”围绕“激昂青春 筑梦基层”讲述了在基层广阔的天地里建功立业，在一线为人民服务中实现人生价值的动人故事。这启示我们青年要</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①将青春融入中国梦，同祖国和时代一起成长</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②将小我融入大我，为国家和社会贡献青春力量</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③坚定理想信念，树立远大的理想和志向</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④着眼个人前途和发展，勇于追梦和勤于圆梦</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4．乡村振兴离不开农业发展。22年6月10日，农业农村部就《农村土地承包合同管理办法（征求意见稿）》向社会公开征求意见。意见稿指出，农村土地承包经营应当遵守法律、法规，保护土地资源的合理开发和</w:t>
      </w:r>
      <w:proofErr w:type="gramStart"/>
      <w:r w:rsidRPr="007D04D5">
        <w:rPr>
          <w:rFonts w:ascii="宋体" w:hAnsi="宋体" w:cs="宋体" w:hint="eastAsia"/>
          <w:sz w:val="21"/>
          <w:szCs w:val="21"/>
        </w:rPr>
        <w:t>可</w:t>
      </w:r>
      <w:proofErr w:type="gramEnd"/>
      <w:r w:rsidRPr="007D04D5">
        <w:rPr>
          <w:rFonts w:ascii="宋体" w:hAnsi="宋体" w:cs="宋体" w:hint="eastAsia"/>
          <w:sz w:val="21"/>
          <w:szCs w:val="21"/>
        </w:rPr>
        <w:t>持续利用。严格控制耕地转为其他农用地，耕地应当优先用于粮食和</w:t>
      </w:r>
      <w:proofErr w:type="gramStart"/>
      <w:r w:rsidRPr="007D04D5">
        <w:rPr>
          <w:rFonts w:ascii="宋体" w:hAnsi="宋体" w:cs="宋体" w:hint="eastAsia"/>
          <w:sz w:val="21"/>
          <w:szCs w:val="21"/>
        </w:rPr>
        <w:t>棉、</w:t>
      </w:r>
      <w:proofErr w:type="gramEnd"/>
      <w:r w:rsidRPr="007D04D5">
        <w:rPr>
          <w:rFonts w:ascii="宋体" w:hAnsi="宋体" w:cs="宋体" w:hint="eastAsia"/>
          <w:sz w:val="21"/>
          <w:szCs w:val="21"/>
        </w:rPr>
        <w:t>油、糖、蔬菜等农产品生产。发包方和承包方应当依法履行保护农村土地的义务。该意见稿的出台</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①有利于缩小城乡发展差距，实现发展成果由人民共享</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②有利于保护我国有限的土地资源，保障国家粮食安全</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③将改变农村土地所有权，提高土地资源利用效率</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④有利于完善家庭联产承包责任制，保障农产品供给</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A．①③</w:t>
      </w:r>
      <w:r w:rsidRPr="007D04D5">
        <w:rPr>
          <w:rFonts w:ascii="宋体" w:hAnsi="宋体" w:cs="宋体" w:hint="eastAsia"/>
          <w:sz w:val="21"/>
          <w:szCs w:val="21"/>
        </w:rPr>
        <w:tab/>
        <w:t>B．②③</w:t>
      </w:r>
      <w:r w:rsidRPr="007D04D5">
        <w:rPr>
          <w:rFonts w:ascii="宋体" w:hAnsi="宋体" w:cs="宋体" w:hint="eastAsia"/>
          <w:sz w:val="21"/>
          <w:szCs w:val="21"/>
        </w:rPr>
        <w:tab/>
        <w:t>C．②④</w:t>
      </w:r>
      <w:r w:rsidRPr="007D04D5">
        <w:rPr>
          <w:rFonts w:ascii="宋体" w:hAnsi="宋体" w:cs="宋体" w:hint="eastAsia"/>
          <w:sz w:val="21"/>
          <w:szCs w:val="21"/>
        </w:rPr>
        <w:tab/>
        <w:t>D．①④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5．疫情发生后，北京市出台相关政策</w:t>
      </w:r>
      <w:proofErr w:type="gramStart"/>
      <w:r w:rsidRPr="007D04D5">
        <w:rPr>
          <w:rFonts w:ascii="宋体" w:hAnsi="宋体" w:cs="宋体" w:hint="eastAsia"/>
          <w:sz w:val="21"/>
          <w:szCs w:val="21"/>
        </w:rPr>
        <w:t>措施援企稳</w:t>
      </w:r>
      <w:proofErr w:type="gramEnd"/>
      <w:r w:rsidRPr="007D04D5">
        <w:rPr>
          <w:rFonts w:ascii="宋体" w:hAnsi="宋体" w:cs="宋体" w:hint="eastAsia"/>
          <w:sz w:val="21"/>
          <w:szCs w:val="21"/>
        </w:rPr>
        <w:t>岗，对企业发放临时性岗位补贴。首次</w:t>
      </w:r>
      <w:proofErr w:type="gramStart"/>
      <w:r w:rsidRPr="007D04D5">
        <w:rPr>
          <w:rFonts w:ascii="宋体" w:hAnsi="宋体" w:cs="宋体" w:hint="eastAsia"/>
          <w:sz w:val="21"/>
          <w:szCs w:val="21"/>
        </w:rPr>
        <w:t>援企稳岗</w:t>
      </w:r>
      <w:proofErr w:type="gramEnd"/>
      <w:r w:rsidRPr="007D04D5">
        <w:rPr>
          <w:rFonts w:ascii="宋体" w:hAnsi="宋体" w:cs="宋体" w:hint="eastAsia"/>
          <w:sz w:val="21"/>
          <w:szCs w:val="21"/>
        </w:rPr>
        <w:t>补贴政策主要面向北京市参加失业保险的中小微企业，共有企业3.6万余家，覆盖参保职工约36万人。这一举措A．通过再分配调节机制，减轻企业经营负担，稳定劳动者就业</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lastRenderedPageBreak/>
        <w:t>B．通过由市场评价贡献，按贡献决定报酬的机制调动劳动者积极性</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C．建立了正常的工资增长机制，让劳动者有更多获得感和幸福感</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D．重视发挥第三次分配作用，积极促进社会公平正义</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6．某人大代表说，准备提案，前期调研必不可少，调研不能是会前“一阵风”，而是一个日积月累的长期过程。必须要花些时间精力深入一线。走进基层。了解民情。倾听民意，代表责无旁贷。可见，当好人大代表</w:t>
      </w:r>
      <w:r w:rsidRPr="007D04D5">
        <w:rPr>
          <w:rFonts w:ascii="宋体" w:hAnsi="宋体" w:cs="宋体" w:hint="eastAsia"/>
          <w:sz w:val="21"/>
          <w:szCs w:val="21"/>
        </w:rPr>
        <w:tab/>
        <w:t>①需要广泛听取和反映人民群众的意见         </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②要发挥先锋模范作用，做到执政为民</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③要审慎行使自己的提案权，反映民意         </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④要参与行使国家权力，接受人民监督。</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C．①③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7．在中国社会主义制度下，有事好商量、众人的事情由众人商量，找到全社会意愿和要求的最大公约数，是人民民主的真谛。协商民主是党领导人民有效治理国家、保证人民当家作主的重要制度设计，</w:t>
      </w:r>
      <w:proofErr w:type="gramStart"/>
      <w:r w:rsidRPr="007D04D5">
        <w:rPr>
          <w:rFonts w:ascii="宋体" w:hAnsi="宋体" w:cs="宋体" w:hint="eastAsia"/>
          <w:sz w:val="21"/>
          <w:szCs w:val="21"/>
        </w:rPr>
        <w:t>同选举</w:t>
      </w:r>
      <w:proofErr w:type="gramEnd"/>
      <w:r w:rsidRPr="007D04D5">
        <w:rPr>
          <w:rFonts w:ascii="宋体" w:hAnsi="宋体" w:cs="宋体" w:hint="eastAsia"/>
          <w:sz w:val="21"/>
          <w:szCs w:val="21"/>
        </w:rPr>
        <w:t>民主相互补充、相得益彰。下列说法正确的是</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①制定《中国共产党政治协商工作条例》，对于加强党的领导具有重要意义</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②全国政协召开“推动数字经济持续健康发展”专题协商会体现了议政建言</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③某市政协组织群众参加“请你来协商”活动，履行了政协的民主监督职能</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④某市政协组织“民生议事堂”100个重点协商项目，做到了科学民主执政</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8．国有资产是我们坚持走中国特色社会主义道路的重要物质基础，是应对国内外风险挑战、统筹发展和安全的重要底气所在。建立国务院向全国人大常委会报告国有资产管理情况制度，是党和国家加强国有资产管理和治理的重要基础工作。加强人大的国有资产监督职能</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①是人大履行宪法赋予的监督职权的内在要求，是人大协商的重要体现</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②保障了人民作为资产所有者的权益，是人民当家作主的现实的体现</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③要支持和促进政府进一步管好用好国有资产，不断提高国有资产的比重</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④应坚持党中央集中统一领导、政府规范管理、人大依法监督、全民共建共享</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B．①③</w:t>
      </w:r>
      <w:r w:rsidRPr="007D04D5">
        <w:rPr>
          <w:rFonts w:ascii="宋体" w:hAnsi="宋体" w:cs="宋体" w:hint="eastAsia"/>
          <w:sz w:val="21"/>
          <w:szCs w:val="21"/>
        </w:rPr>
        <w:tab/>
        <w:t>C．②④</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9．中国共产党第二十次代表大会将于2022年下半年秋季召开。“谁能当选党的二十大代表？”同学们带着问题查找了中共中央组织部主管的“共产党员网”，了解到有以下要求：</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185"/>
      </w:tblGrid>
      <w:tr w:rsidR="007D04D5" w:rsidRPr="007D04D5" w:rsidTr="007D04D5">
        <w:tc>
          <w:tcPr>
            <w:tcW w:w="10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·要严把人选政治关，突出考查人选的理想信念、政治品格和道德修养；</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·要严把人选廉洁关，能够带头尊崇党章、模范遵守党章，公道正派、克己奉公、清正廉洁</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·要注重推荐工人、农民和专业技术人员党员中的先进模范人物；</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·要进一步优化代表结构，既要有各级党员领导干部，又要有生产和工作在一线的党员、要有经济、科技、国防、政法、教育、宣传、文化、卫生、体育和社会管理等各方面的代表。</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w:t>
            </w:r>
          </w:p>
        </w:tc>
      </w:tr>
    </w:tbl>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以上要求</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①强调了代表应具有先进性、广泛性</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②优化代表结构比例，以反映全体公民意愿</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③坚持了全面从严治党，加强和规范党内政治生活</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④有利于加强党的组织领导，履行社会公共服务职能</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B．①③</w:t>
      </w:r>
      <w:r w:rsidRPr="007D04D5">
        <w:rPr>
          <w:rFonts w:ascii="宋体" w:hAnsi="宋体" w:cs="宋体" w:hint="eastAsia"/>
          <w:sz w:val="21"/>
          <w:szCs w:val="21"/>
        </w:rPr>
        <w:tab/>
        <w:t>C．②④</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lastRenderedPageBreak/>
        <w:t>10．目前北京市基本农田的面积仅占市域总面积的6%，已经低于国内大中城市的平均水平，实施保护措施已刻不容缓。北京市近日出台文件全面推行“田长制”，实施党政同责、清单管理、分级保护、逐级负责、</w:t>
      </w:r>
      <w:proofErr w:type="gramStart"/>
      <w:r w:rsidRPr="007D04D5">
        <w:rPr>
          <w:rFonts w:ascii="宋体" w:hAnsi="宋体" w:cs="宋体" w:hint="eastAsia"/>
          <w:sz w:val="21"/>
          <w:szCs w:val="21"/>
        </w:rPr>
        <w:t>严格问</w:t>
      </w:r>
      <w:proofErr w:type="gramEnd"/>
      <w:r w:rsidRPr="007D04D5">
        <w:rPr>
          <w:rFonts w:ascii="宋体" w:hAnsi="宋体" w:cs="宋体" w:hint="eastAsia"/>
          <w:sz w:val="21"/>
          <w:szCs w:val="21"/>
        </w:rPr>
        <w:t>责等责任制度，由各级党政负责人分别担任市、区、乡镇、村四级田长，对责任区内耕地和永久基本农田的监督管理与保护利用工作负责。推行“田长制”</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①通过层层压实责任、系统治理的方式维护粮食安全</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②可以加快农业高质量发展，促进城乡协调治理体系</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③有利于保护耕地，保障首都农产品供给稳定</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④能够巩固基层群众自治制度，保障人民根本利益</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B．①③</w:t>
      </w:r>
      <w:r w:rsidRPr="007D04D5">
        <w:rPr>
          <w:rFonts w:ascii="宋体" w:hAnsi="宋体" w:cs="宋体" w:hint="eastAsia"/>
          <w:sz w:val="21"/>
          <w:szCs w:val="21"/>
        </w:rPr>
        <w:tab/>
        <w:t>C．②④</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11．在一场由球友自愿报名参加的羽毛球赛中，宋先生被周先生击出的羽毛球打伤右眼，几近失明。宋先生向法院提起诉讼索赔，引起舆论的极大关注。一审法院结合民法典关于“自甘风险”的相关规定，驳回了原告宋先生的诉求。对此分析合理的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444"/>
      </w:tblGrid>
      <w:tr w:rsidR="007D04D5" w:rsidRPr="007D04D5" w:rsidTr="00953C3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Chars="200" w:firstLine="420"/>
              <w:jc w:val="center"/>
              <w:rPr>
                <w:rFonts w:ascii="宋体" w:hAnsi="宋体" w:cs="宋体"/>
                <w:sz w:val="21"/>
                <w:szCs w:val="21"/>
              </w:rPr>
            </w:pPr>
            <w:r w:rsidRPr="007D04D5">
              <w:rPr>
                <w:rFonts w:ascii="宋体" w:hAnsi="宋体" w:cs="宋体" w:hint="eastAsia"/>
                <w:sz w:val="21"/>
                <w:szCs w:val="21"/>
              </w:rPr>
              <w:t>民法典</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第一千一百七十六条自愿参加具有一定风险的文体活动，因其他参加者的行为受到损害的，受害人不得请求其他参加者承担侵权责任；但是，其他参加者对损害的发生有故意或者重大过失的除外。活动组织者的责任适用本法第一千一百九十八条至第一千二百零一条的规定。</w:t>
            </w:r>
          </w:p>
        </w:tc>
      </w:tr>
    </w:tbl>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①法院以民意为准绳推进公正司法，有效解决了民事纠纷</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②判决坚持</w:t>
      </w:r>
      <w:proofErr w:type="gramStart"/>
      <w:r w:rsidRPr="007D04D5">
        <w:rPr>
          <w:rFonts w:ascii="宋体" w:hAnsi="宋体" w:cs="宋体" w:hint="eastAsia"/>
          <w:sz w:val="21"/>
          <w:szCs w:val="21"/>
        </w:rPr>
        <w:t>法理情相结合</w:t>
      </w:r>
      <w:proofErr w:type="gramEnd"/>
      <w:r w:rsidRPr="007D04D5">
        <w:rPr>
          <w:rFonts w:ascii="宋体" w:hAnsi="宋体" w:cs="宋体" w:hint="eastAsia"/>
          <w:sz w:val="21"/>
          <w:szCs w:val="21"/>
        </w:rPr>
        <w:t>，为文明执法积累了宝贵经验</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③判决遵循公平、自愿等基本原则，有助于推动社会发展</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④“自甘风险”原则合理分配风险责任，有助于促进社会交往</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12．人类历史上的每一次科技革命都与材料的发展息息相关，而新材料研制颇为不易。人工智能可以借助数据共享，对先进材料的物理化学性质进行预测、筛选，从而加快新材料的合成和生产。作为人工智能的一个分支，机器学习算法在辅助新材料设计时尤为“得力”，其工作过程主要包括“描述符”生成、模型构建、验证、材料预测、实验验证等步骤。人工智能辅助新材料研发的过程表明</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①人工智能研究可以任意改变物质的结构和性质</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②人工智能最终将取代人类对物质世界的认识</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③人类对于物质的认识是一个不断深化的过程</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④具体的物质结构和性质的变化并不改变世界的物质性</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13．中国古代典籍，蕴含着中华民族的历史、思想和智慧，是文化传承的载体，是文化交流的宝贵资源。古籍事业在赓续传承弘扬中华文脉中扮演着中流砥柱的角色。总体上看，我国古籍类图书的量已经很大，但有些亟待整理的文献尚未得到整理，已有整理成果有的比较零散，有的不够精善，粗制滥造的东西也不少。做好新时代古籍工作</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drawing>
          <wp:anchor distT="0" distB="0" distL="114300" distR="114300" simplePos="0" relativeHeight="251658240" behindDoc="0" locked="0" layoutInCell="1" allowOverlap="1">
            <wp:simplePos x="0" y="0"/>
            <wp:positionH relativeFrom="margin">
              <wp:posOffset>77470</wp:posOffset>
            </wp:positionH>
            <wp:positionV relativeFrom="margin">
              <wp:posOffset>7938770</wp:posOffset>
            </wp:positionV>
            <wp:extent cx="4201160" cy="1529715"/>
            <wp:effectExtent l="0" t="0" r="889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01160" cy="1529715"/>
                    </a:xfrm>
                    <a:prstGeom prst="rect">
                      <a:avLst/>
                    </a:prstGeom>
                  </pic:spPr>
                </pic:pic>
              </a:graphicData>
            </a:graphic>
          </wp:anchor>
        </w:drawing>
      </w:r>
    </w:p>
    <w:p w:rsidR="007D04D5" w:rsidRDefault="007D04D5" w:rsidP="007D04D5">
      <w:pPr>
        <w:spacing w:line="360" w:lineRule="exact"/>
        <w:ind w:firstLineChars="200" w:firstLine="420"/>
        <w:rPr>
          <w:rFonts w:ascii="宋体" w:hAnsi="宋体" w:cs="宋体" w:hint="eastAsia"/>
          <w:sz w:val="21"/>
          <w:szCs w:val="21"/>
        </w:rPr>
      </w:pPr>
    </w:p>
    <w:p w:rsidR="007D04D5" w:rsidRDefault="007D04D5" w:rsidP="007D04D5">
      <w:pPr>
        <w:spacing w:line="360" w:lineRule="exact"/>
        <w:ind w:firstLineChars="200" w:firstLine="420"/>
        <w:rPr>
          <w:rFonts w:ascii="宋体" w:hAnsi="宋体" w:cs="宋体" w:hint="eastAsia"/>
          <w:sz w:val="21"/>
          <w:szCs w:val="21"/>
        </w:rPr>
      </w:pPr>
    </w:p>
    <w:p w:rsidR="007D04D5" w:rsidRDefault="007D04D5" w:rsidP="007D04D5">
      <w:pPr>
        <w:spacing w:line="360" w:lineRule="exact"/>
        <w:ind w:firstLineChars="200" w:firstLine="420"/>
        <w:rPr>
          <w:rFonts w:ascii="宋体" w:hAnsi="宋体" w:cs="宋体" w:hint="eastAsia"/>
          <w:sz w:val="21"/>
          <w:szCs w:val="21"/>
        </w:rPr>
      </w:pPr>
    </w:p>
    <w:p w:rsidR="007D04D5" w:rsidRPr="007D04D5" w:rsidRDefault="007D04D5" w:rsidP="007D04D5">
      <w:pPr>
        <w:spacing w:line="360" w:lineRule="exact"/>
        <w:ind w:firstLineChars="200" w:firstLine="420"/>
        <w:rPr>
          <w:rFonts w:ascii="宋体" w:hAnsi="宋体" w:cs="宋体"/>
          <w:sz w:val="21"/>
          <w:szCs w:val="21"/>
        </w:rPr>
      </w:pPr>
      <w:bookmarkStart w:id="0" w:name="_GoBack"/>
      <w:bookmarkEnd w:id="0"/>
      <w:r w:rsidRPr="007D04D5">
        <w:rPr>
          <w:rFonts w:ascii="宋体" w:hAnsi="宋体" w:cs="宋体" w:hint="eastAsia"/>
          <w:sz w:val="21"/>
          <w:szCs w:val="21"/>
        </w:rPr>
        <w:lastRenderedPageBreak/>
        <w:t>①要注重古籍的保护、整理、研究、出版从量的增加转变为质的提高和结构优化</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②应突出重点，补足短板，整体推进，提高质量，提升古籍整理的系统性</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③从古籍的价值、影响和地位来权衡，多研究先秦古籍，</w:t>
      </w:r>
      <w:proofErr w:type="gramStart"/>
      <w:r w:rsidRPr="007D04D5">
        <w:rPr>
          <w:rFonts w:ascii="宋体" w:hAnsi="宋体" w:cs="宋体" w:hint="eastAsia"/>
          <w:sz w:val="21"/>
          <w:szCs w:val="21"/>
        </w:rPr>
        <w:t>少研究</w:t>
      </w:r>
      <w:proofErr w:type="gramEnd"/>
      <w:r w:rsidRPr="007D04D5">
        <w:rPr>
          <w:rFonts w:ascii="宋体" w:hAnsi="宋体" w:cs="宋体" w:hint="eastAsia"/>
          <w:sz w:val="21"/>
          <w:szCs w:val="21"/>
        </w:rPr>
        <w:t>宋元明清古籍</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④应借鉴历代古籍整理经验，以国外汉籍整理为核心，审慎推进中国古籍数字化</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14．作为高原医学事业的开拓者、低氧生理学与高原医学专家，吴天一院士荣获感动中国2021年度人物荣誉。为研究青藏高原藏族人群“高原低氧适应生理特征”这一主攻课题，他扎根高原、无私奉献，提出了符合中国高原实情的高原病防治措施，不仅保证五年14万青藏铁路筑路大军</w:t>
      </w:r>
      <w:proofErr w:type="gramStart"/>
      <w:r w:rsidRPr="007D04D5">
        <w:rPr>
          <w:rFonts w:ascii="宋体" w:hAnsi="宋体" w:cs="宋体" w:hint="eastAsia"/>
          <w:sz w:val="21"/>
          <w:szCs w:val="21"/>
        </w:rPr>
        <w:t>高原病零死亡</w:t>
      </w:r>
      <w:proofErr w:type="gramEnd"/>
      <w:r w:rsidRPr="007D04D5">
        <w:rPr>
          <w:rFonts w:ascii="宋体" w:hAnsi="宋体" w:cs="宋体" w:hint="eastAsia"/>
          <w:sz w:val="21"/>
          <w:szCs w:val="21"/>
        </w:rPr>
        <w:t>，所制定的慢性高山病量化诊断标准还被接纳为ISMM国际标准。这表明</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A．充分发挥主观能动性是正确解决矛盾的关键</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B．获取科学的实验结果是实践活动的最终目的</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C．投身于社会实践是实现人生价值的根本途径</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D．实现人生价值要在劳动中对社会</w:t>
      </w:r>
      <w:proofErr w:type="gramStart"/>
      <w:r w:rsidRPr="007D04D5">
        <w:rPr>
          <w:rFonts w:ascii="宋体" w:hAnsi="宋体" w:cs="宋体" w:hint="eastAsia"/>
          <w:sz w:val="21"/>
          <w:szCs w:val="21"/>
        </w:rPr>
        <w:t>作出</w:t>
      </w:r>
      <w:proofErr w:type="gramEnd"/>
      <w:r w:rsidRPr="007D04D5">
        <w:rPr>
          <w:rFonts w:ascii="宋体" w:hAnsi="宋体" w:cs="宋体" w:hint="eastAsia"/>
          <w:sz w:val="21"/>
          <w:szCs w:val="21"/>
        </w:rPr>
        <w:t>独特贡献</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15．国家博物馆重视文</w:t>
      </w:r>
      <w:proofErr w:type="gramStart"/>
      <w:r w:rsidRPr="007D04D5">
        <w:rPr>
          <w:rFonts w:ascii="宋体" w:hAnsi="宋体" w:cs="宋体" w:hint="eastAsia"/>
          <w:sz w:val="21"/>
          <w:szCs w:val="21"/>
        </w:rPr>
        <w:t>创开发</w:t>
      </w:r>
      <w:proofErr w:type="gramEnd"/>
      <w:r w:rsidRPr="007D04D5">
        <w:rPr>
          <w:rFonts w:ascii="宋体" w:hAnsi="宋体" w:cs="宋体" w:hint="eastAsia"/>
          <w:sz w:val="21"/>
          <w:szCs w:val="21"/>
        </w:rPr>
        <w:t>和经营，打造“国博衍艺”文创品牌和“国博美馔”餐饮品牌，深度挖掘馆藏文物价值内涵，结合专题展览和临时展览举办，系统化</w:t>
      </w:r>
      <w:proofErr w:type="gramStart"/>
      <w:r w:rsidRPr="007D04D5">
        <w:rPr>
          <w:rFonts w:ascii="宋体" w:hAnsi="宋体" w:cs="宋体" w:hint="eastAsia"/>
          <w:sz w:val="21"/>
          <w:szCs w:val="21"/>
        </w:rPr>
        <w:t>研发文</w:t>
      </w:r>
      <w:proofErr w:type="gramEnd"/>
      <w:r w:rsidRPr="007D04D5">
        <w:rPr>
          <w:rFonts w:ascii="宋体" w:hAnsi="宋体" w:cs="宋体" w:hint="eastAsia"/>
          <w:sz w:val="21"/>
          <w:szCs w:val="21"/>
        </w:rPr>
        <w:t>创产品，每年推出数十款百余个</w:t>
      </w:r>
      <w:proofErr w:type="gramStart"/>
      <w:r w:rsidRPr="007D04D5">
        <w:rPr>
          <w:rFonts w:ascii="宋体" w:hAnsi="宋体" w:cs="宋体" w:hint="eastAsia"/>
          <w:sz w:val="21"/>
          <w:szCs w:val="21"/>
        </w:rPr>
        <w:t>文创单品</w:t>
      </w:r>
      <w:proofErr w:type="gramEnd"/>
      <w:r w:rsidRPr="007D04D5">
        <w:rPr>
          <w:rFonts w:ascii="宋体" w:hAnsi="宋体" w:cs="宋体" w:hint="eastAsia"/>
          <w:sz w:val="21"/>
          <w:szCs w:val="21"/>
        </w:rPr>
        <w:t>，涵盖服饰、食品、玩具、文具、生活日用品等多个领域，形成形式多样、富有创意、有较强市场竞争力的文化创意产品体系。我国博物馆依托馆藏文物资源开发各类文化创意产品</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①是推动中华文化创造性转化创新性发展的重要途径</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②是推动世界文化走向中国、提升中国文化</w:t>
      </w:r>
      <w:proofErr w:type="gramStart"/>
      <w:r w:rsidRPr="007D04D5">
        <w:rPr>
          <w:rFonts w:ascii="宋体" w:hAnsi="宋体" w:cs="宋体" w:hint="eastAsia"/>
          <w:sz w:val="21"/>
          <w:szCs w:val="21"/>
        </w:rPr>
        <w:t>软实力</w:t>
      </w:r>
      <w:proofErr w:type="gramEnd"/>
      <w:r w:rsidRPr="007D04D5">
        <w:rPr>
          <w:rFonts w:ascii="宋体" w:hAnsi="宋体" w:cs="宋体" w:hint="eastAsia"/>
          <w:sz w:val="21"/>
          <w:szCs w:val="21"/>
        </w:rPr>
        <w:t>的重要渠道</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③是实现社会生产关系变革、满足多样化艺术投资需求的重要手段</w:t>
      </w:r>
    </w:p>
    <w:p w:rsidR="007D04D5" w:rsidRPr="007D04D5" w:rsidRDefault="007D04D5" w:rsidP="007D04D5">
      <w:pPr>
        <w:spacing w:line="360" w:lineRule="exact"/>
        <w:ind w:firstLineChars="200" w:firstLine="420"/>
        <w:rPr>
          <w:rFonts w:ascii="宋体" w:hAnsi="宋体" w:cs="宋体"/>
          <w:sz w:val="21"/>
          <w:szCs w:val="21"/>
        </w:rPr>
      </w:pPr>
      <w:r w:rsidRPr="007D04D5">
        <w:rPr>
          <w:rFonts w:ascii="宋体" w:hAnsi="宋体" w:cs="宋体" w:hint="eastAsia"/>
          <w:sz w:val="21"/>
          <w:szCs w:val="21"/>
        </w:rPr>
        <w:t>④是增强博物馆服务能力、提升服务水平、丰富服务内容的必然要求</w:t>
      </w:r>
    </w:p>
    <w:p w:rsidR="007D04D5" w:rsidRPr="007D04D5" w:rsidRDefault="007D04D5" w:rsidP="007D04D5">
      <w:pPr>
        <w:tabs>
          <w:tab w:val="left" w:pos="2078"/>
          <w:tab w:val="left" w:pos="4156"/>
          <w:tab w:val="left" w:pos="6234"/>
        </w:tabs>
        <w:spacing w:line="360" w:lineRule="exact"/>
        <w:ind w:firstLineChars="200" w:firstLine="420"/>
        <w:rPr>
          <w:rFonts w:ascii="宋体" w:hAnsi="宋体" w:cs="宋体"/>
          <w:sz w:val="21"/>
          <w:szCs w:val="21"/>
        </w:rPr>
      </w:pPr>
      <w:r w:rsidRPr="007D04D5">
        <w:rPr>
          <w:rFonts w:ascii="宋体" w:hAnsi="宋体" w:cs="宋体" w:hint="eastAsia"/>
          <w:sz w:val="21"/>
          <w:szCs w:val="21"/>
        </w:rPr>
        <w:t>A．①②</w:t>
      </w:r>
      <w:r w:rsidRPr="007D04D5">
        <w:rPr>
          <w:rFonts w:ascii="宋体" w:hAnsi="宋体" w:cs="宋体" w:hint="eastAsia"/>
          <w:sz w:val="21"/>
          <w:szCs w:val="21"/>
        </w:rPr>
        <w:tab/>
        <w:t>B．①④</w:t>
      </w:r>
      <w:r w:rsidRPr="007D04D5">
        <w:rPr>
          <w:rFonts w:ascii="宋体" w:hAnsi="宋体" w:cs="宋体" w:hint="eastAsia"/>
          <w:sz w:val="21"/>
          <w:szCs w:val="21"/>
        </w:rPr>
        <w:tab/>
        <w:t>C．②③</w:t>
      </w:r>
      <w:r w:rsidRPr="007D04D5">
        <w:rPr>
          <w:rFonts w:ascii="宋体" w:hAnsi="宋体" w:cs="宋体" w:hint="eastAsia"/>
          <w:sz w:val="21"/>
          <w:szCs w:val="21"/>
        </w:rPr>
        <w:tab/>
        <w:t>D．③④</w:t>
      </w:r>
    </w:p>
    <w:p w:rsidR="007D04D5" w:rsidRPr="007D04D5" w:rsidRDefault="007D04D5" w:rsidP="007D04D5">
      <w:pPr>
        <w:tabs>
          <w:tab w:val="left" w:pos="2078"/>
          <w:tab w:val="left" w:pos="4156"/>
          <w:tab w:val="left" w:pos="6234"/>
        </w:tabs>
        <w:spacing w:line="360" w:lineRule="exact"/>
        <w:rPr>
          <w:rFonts w:ascii="宋体" w:hAnsi="宋体" w:cs="宋体"/>
          <w:sz w:val="21"/>
          <w:szCs w:val="21"/>
        </w:rPr>
      </w:pPr>
      <w:r w:rsidRPr="007D04D5">
        <w:rPr>
          <w:rFonts w:ascii="宋体" w:hAnsi="宋体" w:cs="宋体"/>
          <w:sz w:val="21"/>
          <w:szCs w:val="21"/>
        </w:rPr>
        <w:t>二、</w:t>
      </w:r>
      <w:r w:rsidRPr="007D04D5">
        <w:rPr>
          <w:rFonts w:ascii="宋体" w:hAnsi="宋体" w:cs="宋体" w:hint="eastAsia"/>
          <w:sz w:val="21"/>
          <w:szCs w:val="21"/>
        </w:rPr>
        <w:t>主观题</w:t>
      </w:r>
    </w:p>
    <w:p w:rsidR="007D04D5" w:rsidRPr="007D04D5" w:rsidRDefault="007D04D5" w:rsidP="007D04D5">
      <w:pPr>
        <w:spacing w:line="360" w:lineRule="exact"/>
        <w:ind w:firstLine="420"/>
        <w:rPr>
          <w:rFonts w:ascii="宋体" w:hAnsi="宋体" w:cs="宋体"/>
          <w:sz w:val="21"/>
          <w:szCs w:val="21"/>
        </w:rPr>
      </w:pPr>
      <w:r w:rsidRPr="007D04D5">
        <w:rPr>
          <w:rFonts w:ascii="宋体" w:hAnsi="宋体" w:cs="宋体"/>
          <w:sz w:val="21"/>
          <w:szCs w:val="21"/>
        </w:rPr>
        <w:t>16．民主不是装饰品，不是用来做摆设的，而是要用来解决人民需要解决的问题的。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200"/>
        <w:gridCol w:w="5242"/>
      </w:tblGrid>
      <w:tr w:rsidR="007D04D5" w:rsidRPr="007D04D5" w:rsidTr="00953C37">
        <w:tc>
          <w:tcPr>
            <w:tcW w:w="249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420"/>
              <w:jc w:val="center"/>
              <w:rPr>
                <w:rFonts w:ascii="楷体" w:eastAsia="楷体" w:hAnsi="楷体" w:cs="宋体"/>
                <w:sz w:val="21"/>
                <w:szCs w:val="21"/>
              </w:rPr>
            </w:pPr>
            <w:r w:rsidRPr="007D04D5">
              <w:rPr>
                <w:rFonts w:ascii="楷体" w:eastAsia="楷体" w:hAnsi="楷体" w:cs="宋体"/>
                <w:sz w:val="21"/>
                <w:szCs w:val="21"/>
              </w:rPr>
              <w:t>中国“全过程人民民主”</w:t>
            </w:r>
          </w:p>
        </w:tc>
        <w:tc>
          <w:tcPr>
            <w:tcW w:w="2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420"/>
              <w:jc w:val="center"/>
              <w:rPr>
                <w:rFonts w:ascii="楷体" w:eastAsia="楷体" w:hAnsi="楷体" w:cs="宋体"/>
                <w:sz w:val="21"/>
                <w:szCs w:val="21"/>
              </w:rPr>
            </w:pPr>
            <w:r w:rsidRPr="007D04D5">
              <w:rPr>
                <w:rFonts w:ascii="楷体" w:eastAsia="楷体" w:hAnsi="楷体" w:cs="宋体"/>
                <w:sz w:val="21"/>
                <w:szCs w:val="21"/>
              </w:rPr>
              <w:t>西方的“选举民主”</w:t>
            </w:r>
          </w:p>
        </w:tc>
      </w:tr>
      <w:tr w:rsidR="007D04D5" w:rsidRPr="007D04D5" w:rsidTr="00953C37">
        <w:tc>
          <w:tcPr>
            <w:tcW w:w="249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420"/>
              <w:rPr>
                <w:rFonts w:ascii="楷体" w:eastAsia="楷体" w:hAnsi="楷体" w:cs="宋体"/>
                <w:sz w:val="21"/>
                <w:szCs w:val="21"/>
              </w:rPr>
            </w:pPr>
            <w:r w:rsidRPr="007D04D5">
              <w:rPr>
                <w:rFonts w:ascii="楷体" w:eastAsia="楷体" w:hAnsi="楷体" w:cs="宋体"/>
                <w:sz w:val="21"/>
                <w:szCs w:val="21"/>
              </w:rPr>
              <w:t>我国全过程人民民主不仅有完整的制度程序，而且有完整的参与实践。通过一系列法律和制度安排，真正将民主选举、民主协商、民主决策、民主管理、民主监督各个环节彼此贯通起来，是全链条、全方位、全覆盖的民主。</w:t>
            </w:r>
          </w:p>
          <w:p w:rsidR="007D04D5" w:rsidRPr="007D04D5" w:rsidRDefault="007D04D5" w:rsidP="007D04D5">
            <w:pPr>
              <w:spacing w:line="360" w:lineRule="exact"/>
              <w:ind w:firstLine="420"/>
              <w:rPr>
                <w:rFonts w:ascii="楷体" w:eastAsia="楷体" w:hAnsi="楷体" w:cs="宋体"/>
                <w:sz w:val="21"/>
                <w:szCs w:val="21"/>
              </w:rPr>
            </w:pPr>
            <w:r w:rsidRPr="007D04D5">
              <w:rPr>
                <w:rFonts w:ascii="楷体" w:eastAsia="楷体" w:hAnsi="楷体" w:cs="宋体"/>
                <w:sz w:val="21"/>
                <w:szCs w:val="21"/>
              </w:rPr>
              <w:t>全过程人民民主不仅强调选举过程的人民参与投票，也强调选举之后的日常社会治理过程中的人民参与，强调共商共建共治共享，在人民根本利益一致的基础上达成社会共识、形成社会治理的最大公约数。</w:t>
            </w:r>
          </w:p>
        </w:tc>
        <w:tc>
          <w:tcPr>
            <w:tcW w:w="2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D04D5" w:rsidRPr="007D04D5" w:rsidRDefault="007D04D5" w:rsidP="007D04D5">
            <w:pPr>
              <w:spacing w:line="360" w:lineRule="exact"/>
              <w:ind w:firstLine="420"/>
              <w:rPr>
                <w:rFonts w:ascii="楷体" w:eastAsia="楷体" w:hAnsi="楷体" w:cs="宋体"/>
                <w:sz w:val="21"/>
                <w:szCs w:val="21"/>
              </w:rPr>
            </w:pPr>
            <w:r w:rsidRPr="007D04D5">
              <w:rPr>
                <w:rFonts w:ascii="楷体" w:eastAsia="楷体" w:hAnsi="楷体" w:cs="宋体"/>
                <w:sz w:val="21"/>
                <w:szCs w:val="21"/>
              </w:rPr>
              <w:t>西方宪政民主以选举投票为中心，是时段性、间歇性的。民主只涉及重要国家政策公投、议会中党派选举与政府首脑选举等政治活动的局部领域，投票完成“民主过程”即告结束。</w:t>
            </w:r>
          </w:p>
          <w:p w:rsidR="007D04D5" w:rsidRPr="007D04D5" w:rsidRDefault="007D04D5" w:rsidP="007D04D5">
            <w:pPr>
              <w:spacing w:line="360" w:lineRule="exact"/>
              <w:ind w:firstLine="420"/>
              <w:rPr>
                <w:rFonts w:ascii="楷体" w:eastAsia="楷体" w:hAnsi="楷体" w:cs="宋体"/>
                <w:sz w:val="21"/>
                <w:szCs w:val="21"/>
              </w:rPr>
            </w:pPr>
            <w:r w:rsidRPr="007D04D5">
              <w:rPr>
                <w:rFonts w:ascii="楷体" w:eastAsia="楷体" w:hAnsi="楷体" w:cs="宋体"/>
                <w:sz w:val="21"/>
                <w:szCs w:val="21"/>
              </w:rPr>
              <w:t>西方宪政民主除却公民以民主选举的方式向代表赋权，缺乏其它渠道和民主形式来表达政治诉求，无法参与之后的政策制定、政策执行、司法监督等，即不能通过选举之外的主动方式影响政治过程。</w:t>
            </w:r>
          </w:p>
        </w:tc>
      </w:tr>
    </w:tbl>
    <w:p w:rsidR="007D04D5" w:rsidRPr="007D04D5" w:rsidRDefault="007D04D5" w:rsidP="007D04D5">
      <w:pPr>
        <w:spacing w:line="360" w:lineRule="exact"/>
        <w:rPr>
          <w:rFonts w:ascii="宋体" w:hAnsi="宋体" w:cs="宋体"/>
          <w:sz w:val="21"/>
          <w:szCs w:val="21"/>
        </w:rPr>
      </w:pPr>
      <w:r w:rsidRPr="007D04D5">
        <w:rPr>
          <w:rFonts w:ascii="宋体" w:hAnsi="宋体" w:cs="宋体" w:hint="eastAsia"/>
          <w:sz w:val="21"/>
          <w:szCs w:val="21"/>
        </w:rPr>
        <w:t>结合材料，综合运用《政治与法治》及《哲学与文化》社会历史观的相关知识，说明中国为什么能实现“全过程人民民主”。</w:t>
      </w:r>
    </w:p>
    <w:p w:rsidR="001A1E4A" w:rsidRPr="007D04D5" w:rsidRDefault="001A1E4A" w:rsidP="007D04D5">
      <w:pPr>
        <w:spacing w:line="360" w:lineRule="exact"/>
        <w:textAlignment w:val="center"/>
        <w:rPr>
          <w:rFonts w:ascii="宋体" w:hAnsi="宋体" w:cs="宋体"/>
          <w:sz w:val="21"/>
          <w:szCs w:val="21"/>
        </w:rPr>
      </w:pPr>
    </w:p>
    <w:sectPr w:rsidR="001A1E4A" w:rsidRPr="007D04D5" w:rsidSect="00A30A9C">
      <w:footerReference w:type="default" r:id="rId9"/>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F7" w:rsidRDefault="00447CF7" w:rsidP="006944C5">
      <w:r>
        <w:separator/>
      </w:r>
    </w:p>
  </w:endnote>
  <w:endnote w:type="continuationSeparator" w:id="0">
    <w:p w:rsidR="00447CF7" w:rsidRDefault="00447CF7" w:rsidP="0069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Page Numbers (Bottom of Page)"/>
        <w:docPartUnique/>
      </w:docPartObj>
    </w:sdtPr>
    <w:sdtEndPr/>
    <w:sdtContent>
      <w:p w:rsidR="006944C5" w:rsidRDefault="006944C5">
        <w:pPr>
          <w:pStyle w:val="a5"/>
          <w:jc w:val="center"/>
        </w:pPr>
        <w:r>
          <w:fldChar w:fldCharType="begin"/>
        </w:r>
        <w:r>
          <w:instrText>PAGE   \* MERGEFORMAT</w:instrText>
        </w:r>
        <w:r>
          <w:fldChar w:fldCharType="separate"/>
        </w:r>
        <w:r w:rsidR="007D04D5" w:rsidRPr="007D04D5">
          <w:rPr>
            <w:noProof/>
            <w:lang w:val="zh-CN"/>
          </w:rPr>
          <w:t>4</w:t>
        </w:r>
        <w:r>
          <w:fldChar w:fldCharType="end"/>
        </w:r>
      </w:p>
    </w:sdtContent>
  </w:sdt>
  <w:p w:rsidR="006944C5" w:rsidRDefault="006944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F7" w:rsidRDefault="00447CF7" w:rsidP="006944C5">
      <w:r>
        <w:separator/>
      </w:r>
    </w:p>
  </w:footnote>
  <w:footnote w:type="continuationSeparator" w:id="0">
    <w:p w:rsidR="00447CF7" w:rsidRDefault="00447CF7" w:rsidP="0069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F852D"/>
    <w:multiLevelType w:val="singleLevel"/>
    <w:tmpl w:val="A68F852D"/>
    <w:lvl w:ilvl="0">
      <w:start w:val="1"/>
      <w:numFmt w:val="decimal"/>
      <w:suff w:val="nothing"/>
      <w:lvlText w:val="（%1）"/>
      <w:lvlJc w:val="left"/>
      <w:pPr>
        <w:ind w:left="0" w:firstLine="0"/>
      </w:pPr>
    </w:lvl>
  </w:abstractNum>
  <w:abstractNum w:abstractNumId="1">
    <w:nsid w:val="00B1F764"/>
    <w:multiLevelType w:val="singleLevel"/>
    <w:tmpl w:val="00B1F764"/>
    <w:lvl w:ilvl="0">
      <w:start w:val="18"/>
      <w:numFmt w:val="decimal"/>
      <w:suff w:val="nothing"/>
      <w:lvlText w:val="%1．"/>
      <w:lvlJc w:val="left"/>
      <w:pPr>
        <w:ind w:left="0" w:firstLine="0"/>
      </w:pPr>
    </w:lvl>
  </w:abstractNum>
  <w:abstractNum w:abstractNumId="2">
    <w:nsid w:val="74067FB3"/>
    <w:multiLevelType w:val="singleLevel"/>
    <w:tmpl w:val="74067FB3"/>
    <w:lvl w:ilvl="0">
      <w:start w:val="1"/>
      <w:numFmt w:val="decimal"/>
      <w:lvlText w:val="(%1)"/>
      <w:lvlJc w:val="left"/>
      <w:pPr>
        <w:tabs>
          <w:tab w:val="left" w:pos="312"/>
        </w:tabs>
      </w:pPr>
    </w:lvl>
  </w:abstractNum>
  <w:num w:numId="1">
    <w:abstractNumId w:val="1"/>
    <w:lvlOverride w:ilvl="0">
      <w:startOverride w:val="18"/>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7"/>
    <w:rsid w:val="00021BC4"/>
    <w:rsid w:val="0016004F"/>
    <w:rsid w:val="0017275C"/>
    <w:rsid w:val="0018102C"/>
    <w:rsid w:val="001A1E4A"/>
    <w:rsid w:val="001D44A2"/>
    <w:rsid w:val="00205D87"/>
    <w:rsid w:val="002E3B77"/>
    <w:rsid w:val="0030166F"/>
    <w:rsid w:val="00306543"/>
    <w:rsid w:val="00346319"/>
    <w:rsid w:val="00377019"/>
    <w:rsid w:val="003B156B"/>
    <w:rsid w:val="003E38DF"/>
    <w:rsid w:val="004459F7"/>
    <w:rsid w:val="00447885"/>
    <w:rsid w:val="00447CF7"/>
    <w:rsid w:val="004C1402"/>
    <w:rsid w:val="004C7CC1"/>
    <w:rsid w:val="0056356B"/>
    <w:rsid w:val="00573CD1"/>
    <w:rsid w:val="005C7F24"/>
    <w:rsid w:val="005F4D3B"/>
    <w:rsid w:val="00624FAA"/>
    <w:rsid w:val="006944C5"/>
    <w:rsid w:val="006A0BFE"/>
    <w:rsid w:val="006B2C21"/>
    <w:rsid w:val="00751D8F"/>
    <w:rsid w:val="007618CC"/>
    <w:rsid w:val="007D04D5"/>
    <w:rsid w:val="007D4314"/>
    <w:rsid w:val="007F550B"/>
    <w:rsid w:val="008714C4"/>
    <w:rsid w:val="00882369"/>
    <w:rsid w:val="008C796D"/>
    <w:rsid w:val="008E6DA5"/>
    <w:rsid w:val="00915F45"/>
    <w:rsid w:val="00917DBF"/>
    <w:rsid w:val="009328E9"/>
    <w:rsid w:val="00962157"/>
    <w:rsid w:val="009A6AC4"/>
    <w:rsid w:val="00A30A9C"/>
    <w:rsid w:val="00A34ADF"/>
    <w:rsid w:val="00A55D55"/>
    <w:rsid w:val="00A62DA8"/>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93691"/>
    <w:rsid w:val="00CA7F67"/>
    <w:rsid w:val="00D35546"/>
    <w:rsid w:val="00D50E5B"/>
    <w:rsid w:val="00DB1D14"/>
    <w:rsid w:val="00F5085B"/>
    <w:rsid w:val="00F75E36"/>
    <w:rsid w:val="00FA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A9C"/>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30A9C"/>
    <w:pPr>
      <w:spacing w:after="120"/>
    </w:pPr>
  </w:style>
  <w:style w:type="character" w:customStyle="1" w:styleId="Char">
    <w:name w:val="正文文本 Char"/>
    <w:basedOn w:val="a1"/>
    <w:link w:val="a0"/>
    <w:uiPriority w:val="99"/>
    <w:semiHidden/>
    <w:rsid w:val="00A30A9C"/>
    <w:rPr>
      <w:rFonts w:ascii="Times New Roman" w:eastAsia="宋体" w:hAnsi="Times New Roman" w:cs="Times New Roman"/>
      <w:kern w:val="0"/>
      <w:sz w:val="24"/>
      <w:szCs w:val="24"/>
    </w:rPr>
  </w:style>
  <w:style w:type="paragraph" w:styleId="a4">
    <w:name w:val="header"/>
    <w:basedOn w:val="a"/>
    <w:link w:val="Char0"/>
    <w:uiPriority w:val="99"/>
    <w:unhideWhenUsed/>
    <w:rsid w:val="0069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6944C5"/>
    <w:rPr>
      <w:rFonts w:ascii="Times New Roman" w:eastAsia="宋体" w:hAnsi="Times New Roman" w:cs="Times New Roman"/>
      <w:kern w:val="0"/>
      <w:sz w:val="18"/>
      <w:szCs w:val="18"/>
    </w:rPr>
  </w:style>
  <w:style w:type="paragraph" w:styleId="a5">
    <w:name w:val="footer"/>
    <w:basedOn w:val="a"/>
    <w:link w:val="Char1"/>
    <w:uiPriority w:val="99"/>
    <w:unhideWhenUsed/>
    <w:rsid w:val="006944C5"/>
    <w:pPr>
      <w:tabs>
        <w:tab w:val="center" w:pos="4153"/>
        <w:tab w:val="right" w:pos="8306"/>
      </w:tabs>
      <w:snapToGrid w:val="0"/>
    </w:pPr>
    <w:rPr>
      <w:sz w:val="18"/>
      <w:szCs w:val="18"/>
    </w:rPr>
  </w:style>
  <w:style w:type="character" w:customStyle="1" w:styleId="Char1">
    <w:name w:val="页脚 Char"/>
    <w:basedOn w:val="a1"/>
    <w:link w:val="a5"/>
    <w:uiPriority w:val="99"/>
    <w:rsid w:val="006944C5"/>
    <w:rPr>
      <w:rFonts w:ascii="Times New Roman" w:eastAsia="宋体" w:hAnsi="Times New Roman" w:cs="Times New Roman"/>
      <w:kern w:val="0"/>
      <w:sz w:val="18"/>
      <w:szCs w:val="18"/>
    </w:rPr>
  </w:style>
  <w:style w:type="paragraph" w:styleId="a6">
    <w:name w:val="Plain Text"/>
    <w:basedOn w:val="a"/>
    <w:link w:val="Char2"/>
    <w:qFormat/>
    <w:rsid w:val="00B7710C"/>
    <w:pPr>
      <w:widowControl w:val="0"/>
      <w:jc w:val="both"/>
    </w:pPr>
    <w:rPr>
      <w:rFonts w:ascii="宋体" w:hAnsi="Courier New" w:cs="Courier New"/>
      <w:kern w:val="2"/>
      <w:sz w:val="21"/>
      <w:szCs w:val="21"/>
    </w:rPr>
  </w:style>
  <w:style w:type="character" w:customStyle="1" w:styleId="Char2">
    <w:name w:val="纯文本 Char"/>
    <w:basedOn w:val="a1"/>
    <w:link w:val="a6"/>
    <w:rsid w:val="00B7710C"/>
    <w:rPr>
      <w:rFonts w:ascii="宋体" w:eastAsia="宋体" w:hAnsi="Courier New" w:cs="Courier New"/>
      <w:szCs w:val="21"/>
    </w:rPr>
  </w:style>
  <w:style w:type="paragraph" w:styleId="a7">
    <w:name w:val="Balloon Text"/>
    <w:basedOn w:val="a"/>
    <w:link w:val="Char3"/>
    <w:uiPriority w:val="99"/>
    <w:semiHidden/>
    <w:unhideWhenUsed/>
    <w:rsid w:val="0030166F"/>
    <w:rPr>
      <w:sz w:val="18"/>
      <w:szCs w:val="18"/>
    </w:rPr>
  </w:style>
  <w:style w:type="character" w:customStyle="1" w:styleId="Char3">
    <w:name w:val="批注框文本 Char"/>
    <w:basedOn w:val="a1"/>
    <w:link w:val="a7"/>
    <w:uiPriority w:val="99"/>
    <w:semiHidden/>
    <w:rsid w:val="003016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2451">
      <w:bodyDiv w:val="1"/>
      <w:marLeft w:val="0"/>
      <w:marRight w:val="0"/>
      <w:marTop w:val="0"/>
      <w:marBottom w:val="0"/>
      <w:divBdr>
        <w:top w:val="none" w:sz="0" w:space="0" w:color="auto"/>
        <w:left w:val="none" w:sz="0" w:space="0" w:color="auto"/>
        <w:bottom w:val="none" w:sz="0" w:space="0" w:color="auto"/>
        <w:right w:val="none" w:sz="0" w:space="0" w:color="auto"/>
      </w:divBdr>
    </w:div>
    <w:div w:id="7737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2022-10-21T01:34:00Z</dcterms:created>
  <dcterms:modified xsi:type="dcterms:W3CDTF">2022-10-28T00:47:00Z</dcterms:modified>
</cp:coreProperties>
</file>