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第三课  只有中国特色社会主义才能发展中国</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第一框  伟大的改革开放</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方正大标宋_GBK" w:hAnsi="方正大标宋_GBK" w:eastAsia="方正大标宋_GBK" w:cs="方正大标宋_GBK"/>
          <w:color w:val="0000FF"/>
          <w:sz w:val="32"/>
          <w:szCs w:val="36"/>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6"/>
        <w:gridCol w:w="996"/>
        <w:gridCol w:w="996"/>
        <w:gridCol w:w="996"/>
        <w:gridCol w:w="996"/>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6</w:t>
            </w: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7</w:t>
            </w: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8</w:t>
            </w: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10</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11</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12</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13</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14</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15</w:t>
            </w: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16</w:t>
            </w: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17</w:t>
            </w: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r>
    </w:tbl>
    <w:p>
      <w:pPr>
        <w:keepNext w:val="0"/>
        <w:keepLines w:val="0"/>
        <w:pageBreakBefore w:val="0"/>
        <w:kinsoku/>
        <w:wordWrap/>
        <w:overflowPunct/>
        <w:topLinePunct w:val="0"/>
        <w:autoSpaceDE/>
        <w:autoSpaceDN/>
        <w:bidi w:val="0"/>
        <w:adjustRightInd w:val="0"/>
        <w:snapToGrid w:val="0"/>
        <w:spacing w:line="360" w:lineRule="auto"/>
        <w:jc w:val="left"/>
        <w:textAlignment w:val="center"/>
      </w:pPr>
      <w:r>
        <w:t>1．2021年新冠肺炎疫情仍然在全球肆虐，全球经济陷入衰退。但在全球供给与需求等多重因素共同作用下，2021年上半年，中国货物贸易进出口总值一直逆势保持增长态势，连续14个月实现同比正增长。这一态势（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A．说明我国对外开放不断向纵深推进</w:t>
      </w:r>
      <w:r>
        <w:tab/>
      </w:r>
      <w:r>
        <w:t>B．意味着我国对外开放达到了新的水平</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C．表明对外开放是中国经济增长的根本动力</w:t>
      </w:r>
      <w:r>
        <w:tab/>
      </w:r>
      <w:r>
        <w:t>D．表明改革开放使中国对外贸易居于全球主导地位</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2．中国共产党在领导人民进行革命、建设和改革的过程中，从理论和实践两方面对实现共同富裕问题进行了一以贯之的持续探索。对此，认识正确的有（     </w:t>
      </w:r>
      <w:r>
        <w:t>）</w:t>
      </w:r>
    </w:p>
    <w:tbl>
      <w:tblPr>
        <w:tblStyle w:val="5"/>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0"/>
        <w:gridCol w:w="2550"/>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新民主主义革命时期</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社会主义革命和建设时期</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改革开放和社会主义现代化建设新时期</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中国特色社会主义新时代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没有独立、自由、民主和统一……便没有人民的福利</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这个富，是共同的富，这个强，是共同的强，大家都有份</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先富带后富，逐步实现共同富裕；将提高效率同促进社会公平相结合</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center"/>
            </w:pPr>
            <w:r>
              <w:t>共同富裕是全体人民共同富裕，是人民群众物质生活和精神生活都富裕；鼓励勤劳发展致富，鼓励依法经营致富，鼓励创业创新致富</w:t>
            </w:r>
          </w:p>
        </w:tc>
      </w:tr>
    </w:tbl>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①马克思主义关于共产主义社会的构想，为我国推进共同富裕提供了“路线图”</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②民族独立和人民解放为我国实现生产力发展和人民共同富裕提供了政治前提</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③改革开放是实现中华民族伟大复兴的关键一招，为实现共同富裕指明了方向</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④中国特色社会主义的伟大实践，更加明晰了共同富裕的科学内涵和实现路径</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A．①③</w:t>
      </w:r>
      <w:r>
        <w:tab/>
      </w:r>
      <w:r>
        <w:t>B．①④</w:t>
      </w:r>
      <w:r>
        <w:tab/>
      </w:r>
      <w:r>
        <w:t>C．②③</w:t>
      </w:r>
      <w:r>
        <w:tab/>
      </w:r>
      <w:r>
        <w:t>D．②④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3．“什么叫社会主义？它比资本主义好在哪里？每个人平均六百几十斤粮食，好多人饭都不够吃，28年只</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搞了2 300万吨钢，能叫社会主义优越性吗？”邓小平同志曾如此痛彻发问。如果再不实行改革，我们的现代化事业和社会主义事业就会被葬送。由此可见，邓小平同志强调实行改革开放就是要（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①进一步解放和发展社会生产力，实现社会主义现代化</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②推动我国社会主义制度的根本变革，赋予社会主义新的生机活力</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③使中国人民富起来、中国强起来，实现中华民族伟大复兴</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④加强和改进党的建设，保持和发展党的先进性</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A．①②</w:t>
      </w:r>
      <w:r>
        <w:tab/>
      </w:r>
      <w:r>
        <w:t>B．③④</w:t>
      </w:r>
      <w:r>
        <w:tab/>
      </w:r>
      <w:r>
        <w:t>C．①③</w:t>
      </w:r>
      <w:r>
        <w:tab/>
      </w:r>
      <w:r>
        <w:t>D．②④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4．进一步深化中国（上海）自由贸易试验区（以下简称自贸试验区）改革开放，是党中央、国务院作出的重大决策，是在新形势下为全面深化改革和扩大开放探索新途径、积累新经验的重要举措，对加快政府职能转变、积极探索管理模式创新、促进贸易和投资便利化、形成深化改革新动力、扩大开放新优势，具有重要意义。进一步深化改革开放的鲜明态度和决心说明（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A．改革开放正在进行，总有一天会成功</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B．改革开放是决定党和国家生存发展的政治基石</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C．改革开放极大改变了中国的面貌，只有进行时，没有完成时</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D．改革开放是我国进入新时代的标志</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5．中国国家博物馆收藏着109枚公章，它们是“一枚印章管审批”改革的见证。2014年5月，天津市滨海新区行政审批局将分散在18个单位的216项审批职责归由一个部门管理，最大限度地方便了群众办事。“一枚印章管审批”改革(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A．是决定当代中国人民命运的关键一招</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B．为社会主义市场经济体制改革奠定基础</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C．说明精简机构是国家机构改革的出发点</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D．体现了社会主义制度的自我完善和发展</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6．某校高中一年级学生社团准备排演一部反映我国改革开放初期的微话剧，以下是他们撰写剧本中拟选取的素材，合理的是（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①安徽省凤阳县小岗村18位农民按下“大包干”红手印的图片</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②同学们集会聆听校外专家讲述“加入世界贸易组织”的艰辛历程</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③某同学在家看电视，新闻中正在播放开发开放浦东的重要讯息</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④思政课上，老师正在讲解国家关于“全面深化改革”的重要部署</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7．门头沟区某中学组织学生参加“走进门头沟区红色资源，赓续门头沟区红色血脉”社会实践活动。他们走进田庄村，追忆京西山区第一个党支部诞生的历史；步入冀热察挺进军司令部旧址，在宛平县抗日烈士纪念碑前凭吊牺牲的乡亲；驻足黄安坨村毛主席批示纪念馆，当年这里成立的常年互助组极大地提高了粮食亩产。参加此次活动最有可能认识到（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①在改革开放中党领导人民创立了中国特色社会主义</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②中国共产党领导中国人民实现民族独立和人民解放</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③中华民族有史以来最为广泛而深刻的社会变革</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④社会主义改造是决定当代中国命运的关键一招</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A．①②</w:t>
      </w:r>
      <w:r>
        <w:tab/>
      </w:r>
      <w:r>
        <w:t>B．①④</w:t>
      </w:r>
      <w:r>
        <w:tab/>
      </w:r>
      <w:r>
        <w:t>C．②③</w:t>
      </w:r>
      <w:r>
        <w:tab/>
      </w:r>
      <w:r>
        <w:t>D．③④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8．梁漱溟曾经于1955年写过一篇《告台湾同胞》的文章，他发自肺腑地说道：“有许多不可否认的事实，是这五年来经历着的事情一件一件多得数不清，这些事情综合起来不外乎一件大事实，那就是中国人百多年来一直走着下坡路的命运，如今让共产党扭转了方向，五年之间真有‘如日方升’景象，这是事实，这是不可否认的最大事实。就是眼前这最大事实，使我无法不信服中国共产党。”梁漱溟先生称颂的最大事实是（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A．没有共产党，就没有新中国</w:t>
      </w:r>
      <w:r>
        <w:tab/>
      </w:r>
      <w:r>
        <w:t>B．没有共产党，就不能实现中国的统一</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C．只有中国特色社会主义才能发展中国</w:t>
      </w:r>
      <w:r>
        <w:tab/>
      </w:r>
      <w:r>
        <w:t>D．只有社会主义才能救中国</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9．从当年的边陲渔村到如今的国际大都市，作为改革开放的“探路者”，深圳高举新时代中国特色社会主义先行示范区的旗帜，以最具说服力的发展成就，向世界展示了中国高质量发展的奇迹。关于改革开放，以下说法正确的是（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①改革是调整生产力中与生产关系发展不相适应的部分</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②极大解放和发展了社会生产力，极大增强了我国的综合国力，提高了国际地位</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③深圳、珠海、汕头、厦门经济特区设立，标志着我国对外开放迈出关键步伐</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④建立了社会主义的各项基本制度</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A．②③</w:t>
      </w:r>
      <w:r>
        <w:tab/>
      </w:r>
      <w:r>
        <w:t>B．③④</w:t>
      </w:r>
      <w:r>
        <w:tab/>
      </w:r>
      <w:r>
        <w:t>C．①③</w:t>
      </w:r>
      <w:r>
        <w:tab/>
      </w:r>
      <w:r>
        <w:t>D．②④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10．习近平强调，我们的先人早就提出了“天行健，君子以自强不息”的思想，强调要“苟日新，日日新，又日新”。在激烈的国际竞争中前行，就如同逆水行舟，不进则退。改革是由问题倒逼而产生，又在不断解决问题中而深化。可见，改革（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①只有进行时，没有完成时②是推动经济社会发展的力量之源</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③极大地改变了中国的面貌④是社会主义制度的自我完善和发展</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A．①③</w:t>
      </w:r>
      <w:r>
        <w:tab/>
      </w:r>
      <w:r>
        <w:t>B．①④</w:t>
      </w:r>
      <w:r>
        <w:tab/>
      </w:r>
      <w:r>
        <w:t>C．②③</w:t>
      </w:r>
      <w:r>
        <w:tab/>
      </w:r>
      <w:r>
        <w:t>D．②④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11．百年前，山河动荡，人民流离失所，先进的中国人在乱世中扛起一面旗帜，努力改变国弱家贫的状况，艰难追寻世界的脚步。百年后，和平已至，百姓安康，旗帜犹在，初心不改，我国初步实现国富民强、走向世界前列的目标。由此可见（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①中国共产党的领导和执政是人民的正确选择</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②中国共产党始终坚持为中国人民谋幸福，为中华民族谋复兴</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③加强和改善党的全面领导才能保证党始终不忘初心</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④马克思主义是实现中国百年巨变的核心力量</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A．①②</w:t>
      </w:r>
      <w:r>
        <w:tab/>
      </w:r>
      <w:r>
        <w:t>B．①④</w:t>
      </w:r>
      <w:r>
        <w:tab/>
      </w:r>
      <w:r>
        <w:t>C．②③</w:t>
      </w:r>
      <w:r>
        <w:tab/>
      </w:r>
      <w:r>
        <w:t>D．③④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12．山东省曲阜师范大学至今还保存着一件在新中国发展史上具有里程碑意义的物品，它就是1958年中国人自己制造的第一代通用数字电子计算机。虽然起初该机的运算速度仅有每秒30次，但它却成为我国计算技术这门学科建立的标志。对该历史文物的介绍，最适合用于说明我国（ ）</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A．长期遭到战争破坏的国民经济得以恢复</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B．在经历艰苦探索后走向民富国强</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C．坚持和发展了中国特色社会主义</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D．社会主义建设的初步实践取得丰硕成果</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13．40多年前，中国开启了改革开放，从此中国的面貌焕然一新。改革开放堪称第二次革命，是我国历史上的一个伟大的转折，是一个新的历史发展阶段的开端。习近平总书记提出了新时代要把改革开放继续推向前进的目标要求，这是因为（     </w:t>
      </w:r>
      <w:r>
        <w:t>）</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①从经济基础层面看，改革开放有力推动了我国经济社会发展，使中国步入了中等发达国家行列</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②从上层建筑层面看，改革开放确立了我国社会主义基本制度，推动了我国社会主义制度的自我完善和发展</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③从改革层面看，改革开放使中国社会开始了从改革旧体制、建立新体制到在新体制下实现不断完善和发展的转化</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④从发展层面看，改革开放增强了社会发展活力，激发了人民群众的创造性，使人民群众富起来、强起来</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14．阅读材料，完成下面的问题。</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2022年3月11日上午十三届全国人大五次会议胜利闭幕。随后国务院总理李克强在人民大会堂三楼金</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楷体" w:hAnsi="楷体" w:eastAsia="楷体" w:cs="楷体"/>
        </w:rPr>
      </w:pPr>
      <w:r>
        <w:rPr>
          <w:rFonts w:ascii="楷体" w:hAnsi="楷体" w:eastAsia="楷体" w:cs="楷体"/>
        </w:rPr>
        <w:t>色大厅出席记者会并回答了中外记者提问。会上李克强指出：“中国经济已深度融入世界。</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中国货物进出口总额占GDP的比重已经超过三分之一，现在进口对工业的综合影响度超过70%，我们连续十年稳居全球第二大进口市场，而且连续五年成为全球货物贸易的第一大国。无论国际风云如何变幻，中国都会坚定不移地扩大开放。长江、黄河不会倒流。中国这40多年，从来都是在改革中前进、开放中发展。中国对外开放40多年了，发展了自己，造福了人民，也有利于世界。这是个机遇的大门，我们决不会也决不能把它关上。”</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t>结合材料，运用《中国特色社会主义》知识，说明“无论国际风云如何变幻，中国都会坚定不移地扩大开放，中国决不会也决不能关上对外开放的大门”的理由。</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p>
    <w:p>
      <w:pPr>
        <w:keepNext w:val="0"/>
        <w:keepLines w:val="0"/>
        <w:pageBreakBefore w:val="0"/>
        <w:kinsoku/>
        <w:wordWrap/>
        <w:overflowPunct/>
        <w:topLinePunct w:val="0"/>
        <w:autoSpaceDE/>
        <w:autoSpaceDN/>
        <w:bidi w:val="0"/>
        <w:adjustRightInd w:val="0"/>
        <w:snapToGrid w:val="0"/>
        <w:spacing w:line="360" w:lineRule="auto"/>
        <w:jc w:val="left"/>
        <w:textAlignment w:val="center"/>
      </w:pPr>
    </w:p>
    <w:p>
      <w:pPr>
        <w:keepNext w:val="0"/>
        <w:keepLines w:val="0"/>
        <w:pageBreakBefore w:val="0"/>
        <w:kinsoku/>
        <w:wordWrap/>
        <w:overflowPunct/>
        <w:topLinePunct w:val="0"/>
        <w:autoSpaceDE/>
        <w:autoSpaceDN/>
        <w:bidi w:val="0"/>
        <w:adjustRightInd w:val="0"/>
        <w:snapToGrid w:val="0"/>
        <w:spacing w:line="360" w:lineRule="auto"/>
        <w:jc w:val="left"/>
        <w:textAlignment w:val="center"/>
      </w:pPr>
    </w:p>
    <w:p>
      <w:pPr>
        <w:keepNext w:val="0"/>
        <w:keepLines w:val="0"/>
        <w:pageBreakBefore w:val="0"/>
        <w:kinsoku/>
        <w:wordWrap/>
        <w:overflowPunct/>
        <w:topLinePunct w:val="0"/>
        <w:autoSpaceDE/>
        <w:autoSpaceDN/>
        <w:bidi w:val="0"/>
        <w:adjustRightInd w:val="0"/>
        <w:snapToGrid w:val="0"/>
        <w:spacing w:line="360" w:lineRule="auto"/>
        <w:jc w:val="left"/>
        <w:textAlignment w:val="center"/>
      </w:pPr>
    </w:p>
    <w:p>
      <w:pPr>
        <w:keepNext w:val="0"/>
        <w:keepLines w:val="0"/>
        <w:pageBreakBefore w:val="0"/>
        <w:kinsoku/>
        <w:wordWrap/>
        <w:overflowPunct/>
        <w:topLinePunct w:val="0"/>
        <w:autoSpaceDE/>
        <w:autoSpaceDN/>
        <w:bidi w:val="0"/>
        <w:adjustRightInd w:val="0"/>
        <w:snapToGrid w:val="0"/>
        <w:spacing w:line="360" w:lineRule="auto"/>
        <w:jc w:val="left"/>
        <w:textAlignment w:val="center"/>
      </w:pP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eastAsia="楷体"/>
          <w:color w:val="000000"/>
          <w:lang w:val="en-US" w:eastAsia="zh-CN"/>
        </w:rPr>
        <w:t>15</w:t>
      </w:r>
      <w:r>
        <w:rPr>
          <w:color w:val="000000"/>
        </w:rPr>
        <w:t xml:space="preserve">. </w:t>
      </w:r>
      <w:r>
        <w:rPr>
          <w:rFonts w:ascii="宋体" w:hAnsi="宋体" w:eastAsia="宋体" w:cs="宋体"/>
          <w:color w:val="000000"/>
        </w:rPr>
        <w:t>甲公司在2022年1月10日和乙公司签订货物运输合同，约定月底前将货物送达乙公司，乙公司交付了定金10万元。1月11日，甲公司的货车在送货中发生侧翻，在与乙公司联系未果的情况下，甲公司处理了部分货物，但仍给乙公司造成了8万元的损失。在本案中（   ）</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①甲公司的行为属于实际违约</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②甲公司应双倍返还定金并继续履行</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③甲公司坚持了协作履行原则</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④甲公司应双倍返还定金并赔偿损失</w:t>
      </w:r>
    </w:p>
    <w:p>
      <w:pPr>
        <w:keepNext w:val="0"/>
        <w:keepLines w:val="0"/>
        <w:pageBreakBefore w:val="0"/>
        <w:tabs>
          <w:tab w:val="left" w:pos="2436"/>
          <w:tab w:val="left" w:pos="4873"/>
          <w:tab w:val="left" w:pos="7309"/>
        </w:tabs>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16</w:t>
      </w:r>
      <w:r>
        <w:rPr>
          <w:color w:val="000000"/>
        </w:rPr>
        <w:t xml:space="preserve">. </w:t>
      </w:r>
      <w:r>
        <w:rPr>
          <w:rFonts w:ascii="宋体" w:hAnsi="宋体" w:eastAsia="宋体" w:cs="宋体"/>
          <w:color w:val="000000"/>
        </w:rPr>
        <w:t>村民李某外出创业需要资金，遂以自己的村内住宅为担保向村委会借钱10万元，并签订了借款合同，约定李某在未还款前，村委会可将李某住宅作村医务室之用。三年后，李某返乡欲收回住宅，发现自己的住宅不复存在，宅基地被村公路所占，住宅内家具家电均低价处理给了同村村民王某。李某一怒之下将村委会告上法院。本案中涉及到的物权，下列选项正确的是（   ）</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①李某未还款之前，村委会对李某住宅享有担保物权</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②村委会未经李某同意，无权收回宅基地所有权</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③王某对李某住宅内的家具家电适用善意取得，李某不得主张所有权</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④村委会可以在适当位置为李某重新分配宅基地，并给予一定经济补偿</w:t>
      </w:r>
    </w:p>
    <w:p>
      <w:pPr>
        <w:keepNext w:val="0"/>
        <w:keepLines w:val="0"/>
        <w:pageBreakBefore w:val="0"/>
        <w:tabs>
          <w:tab w:val="left" w:pos="2436"/>
          <w:tab w:val="left" w:pos="4873"/>
          <w:tab w:val="left" w:pos="7309"/>
        </w:tabs>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w:t>
      </w:r>
      <w:r>
        <w:rPr>
          <w:color w:val="000000"/>
        </w:rPr>
        <w:t xml:space="preserve">7. </w:t>
      </w:r>
      <w:r>
        <w:rPr>
          <w:rFonts w:ascii="宋体" w:hAnsi="宋体" w:eastAsia="宋体" w:cs="宋体"/>
          <w:color w:val="000000"/>
        </w:rPr>
        <w:t>东数西算，指通过构建数据中心、云计算、大数据一体化的新型算力网络体系，将东部算力需求有序引导到西部，优化数据中心建设布局，促进东西部协同联动。国家实施东数西算，从思维方法上说明（   ）</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①辩证思维强调整体性，排斥局部的独立性</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②辩证思维强调动态性，排斥相对的静态性</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③辩证思维用联系、发展、全面的观点看问题</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④科学处理整体与部分的关系</w:t>
      </w:r>
    </w:p>
    <w:p>
      <w:pPr>
        <w:keepNext w:val="0"/>
        <w:keepLines w:val="0"/>
        <w:pageBreakBefore w:val="0"/>
        <w:tabs>
          <w:tab w:val="left" w:pos="2436"/>
          <w:tab w:val="left" w:pos="4873"/>
          <w:tab w:val="left" w:pos="7309"/>
        </w:tabs>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①③</w:t>
      </w:r>
      <w:r>
        <w:rPr>
          <w:rFonts w:ascii="宋体" w:hAnsi="宋体" w:eastAsia="宋体" w:cs="宋体"/>
          <w:color w:val="000000"/>
        </w:rPr>
        <w:tab/>
      </w:r>
      <w:r>
        <w:rPr>
          <w:rFonts w:ascii="宋体" w:hAnsi="宋体" w:eastAsia="宋体" w:cs="宋体"/>
          <w:color w:val="000000"/>
        </w:rPr>
        <w:t>C. ②④</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w:t>
      </w:r>
      <w:r>
        <w:rPr>
          <w:color w:val="000000"/>
        </w:rPr>
        <w:t xml:space="preserve">8. </w:t>
      </w:r>
      <w:r>
        <w:rPr>
          <w:rFonts w:ascii="宋体" w:hAnsi="宋体" w:eastAsia="宋体" w:cs="宋体"/>
          <w:color w:val="000000"/>
        </w:rPr>
        <w:t>20世纪30年代，英国作家雅各布写了一本介绍德国军队组织的书。他写书的方法是从德军的讣告、婚庆等报告中分类、整理找出了各部分的基本线索，然后运用综合的方法归类，才勾画出德军组织状况的整体。雅各布在分析与综合中注意了（   ）</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①在实践中检验分析与综合是否正确</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②要把注意力放在“点”上</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③要准确理解分析和综合的辩证关系</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④分析和综合要客观和全面</w:t>
      </w:r>
    </w:p>
    <w:p>
      <w:pPr>
        <w:keepNext w:val="0"/>
        <w:keepLines w:val="0"/>
        <w:pageBreakBefore w:val="0"/>
        <w:numPr>
          <w:ilvl w:val="0"/>
          <w:numId w:val="1"/>
        </w:numPr>
        <w:tabs>
          <w:tab w:val="left" w:pos="2436"/>
          <w:tab w:val="left" w:pos="4873"/>
          <w:tab w:val="left" w:pos="7309"/>
        </w:tabs>
        <w:kinsoku/>
        <w:wordWrap/>
        <w:overflowPunct/>
        <w:topLinePunct w:val="0"/>
        <w:autoSpaceDE/>
        <w:autoSpaceDN/>
        <w:bidi w:val="0"/>
        <w:adjustRightInd w:val="0"/>
        <w:snapToGrid w:val="0"/>
        <w:spacing w:line="360" w:lineRule="auto"/>
        <w:jc w:val="left"/>
        <w:textAlignment w:val="center"/>
        <w:rPr>
          <w:rFonts w:ascii="宋体" w:hAnsi="宋体" w:eastAsia="宋体" w:cs="宋体"/>
          <w:color w:val="000000"/>
        </w:rPr>
      </w:pPr>
      <w:r>
        <w:rPr>
          <w:rFonts w:ascii="宋体" w:hAnsi="宋体" w:eastAsia="宋体" w:cs="宋体"/>
          <w:color w:val="000000"/>
        </w:rPr>
        <w:t>①②</w:t>
      </w:r>
      <w:r>
        <w:rPr>
          <w:rFonts w:ascii="宋体" w:hAnsi="宋体" w:eastAsia="宋体" w:cs="宋体"/>
          <w:color w:val="000000"/>
        </w:rPr>
        <w:tab/>
      </w:r>
      <w:r>
        <w:rPr>
          <w:rFonts w:ascii="宋体" w:hAnsi="宋体" w:eastAsia="宋体" w:cs="宋体"/>
          <w:color w:val="000000"/>
        </w:rPr>
        <w:t>B. ②③</w:t>
      </w:r>
      <w:r>
        <w:rPr>
          <w:rFonts w:ascii="宋体" w:hAnsi="宋体" w:eastAsia="宋体" w:cs="宋体"/>
          <w:color w:val="000000"/>
        </w:rPr>
        <w:tab/>
      </w:r>
      <w:r>
        <w:rPr>
          <w:rFonts w:ascii="宋体" w:hAnsi="宋体" w:eastAsia="宋体" w:cs="宋体"/>
          <w:color w:val="000000"/>
        </w:rPr>
        <w:t>C. ②④</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6"/>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楷体" w:hAnsi="楷体" w:eastAsia="楷体" w:cs="楷体"/>
                <w:b/>
                <w:bCs/>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1．中国共产党第十二届中央委员会第三次全体会议，于1984年10月20日在北京召开。全会一致通过了《中共中央关于经济体制改革的决定》，这次会议（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①标志中国改革的重点从农村转向城市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②加快推动以城市为重点的整个经济体制改革的步伐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③就建立社会主义市场经济体制进行了全面部署</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④提出走自己的路，建设有中国特设的社会主义</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改革开放是党的一次伟大觉醒，是中国人民和中华民族发展史上一次伟大革命。四十多年来，我国经济实力、人民生活水平、综合国力迈上一个大台阶。今天的中国已经成为世界第二大经济体、第一制造业大国和货物贸易大国、第一外汇储备大国，日益成为世界经济增长的强劲动力源和稳定之锚。这表明我国改革开放（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①极大地改变了中国的面貌，是我国立国之本和政治基石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②为完善全球治理贡献了中国道路、中国智慧、中国方案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③是决定中华民族从大步追赶时代到引领时代的关键一招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④为全球经济发展开辟了广阔市场，提供无限机遇和可能</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3．“改革开放是党的一次伟大觉醒”。这是我们党作出的这个重大历史结论和重要政治论断，对我们深刻理解党的十一届三中全会是划时代的，具有重大意义。党的十一届三中全会（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①确立了马克思主义的思想路线、政治路线和组织路线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②确定把党和国家工作的重点转移到现代化建设上来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③明确了改革重点是建立和完善社会主义市场经济体制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④开启了改革开放和社会主义现代化建设新时期</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4．电视剧《人世间》播出后，引发了观众情感共鸣。某班同学以“我家的‘人世间’故事”为主题开展探究学习，以下是同学乙所述故事的部分内容。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787400</wp:posOffset>
            </wp:positionH>
            <wp:positionV relativeFrom="paragraph">
              <wp:posOffset>1905</wp:posOffset>
            </wp:positionV>
            <wp:extent cx="4479925" cy="1344930"/>
            <wp:effectExtent l="0" t="0" r="635" b="11430"/>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4479925" cy="13449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透过我家的“人世间”故事，可以从中感悟到（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①没有共产党就没有新中国，更没有今日盛世之中国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②中华人民共和国的成立，为百姓之幸福生活奠定了根本制度前提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③改革开放是党的一次伟大觉醒，是决定当代中国命运的关键抉择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④共同富裕是社会主义的本质要求，也是现代化的重要特征</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作为庆祝中国共产党成立100周年优秀电视剧展播剧目，《觉醒年代》一经播出，就引发了广大观众的热烈关注。“一百年以后的中国，必会证明我今天的观点，社会主义绝不会辜负中国!”革命先驱李大钊的激昂话语，诉说着中国共产党人发现真理的喜悦。以下能体现“社会主义没有辜负中国”的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①1921年中国共产党的诞生，从根本上改变了中国社会的发展方向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②1956年社会主义改造的基本完成，标志着新中国的诞生，中国人民站起来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③改革开放，迎来了生产力的飞速发展，中国人民富起来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④脱贫攻坚战的胜利，充分彰显社会主义制度集中力量办大事的优势</w:t>
      </w:r>
    </w:p>
    <w:p>
      <w:pPr>
        <w:keepNext w:val="0"/>
        <w:keepLines w:val="0"/>
        <w:pageBreakBefore w:val="0"/>
        <w:widowControl w:val="0"/>
        <w:numPr>
          <w:ilvl w:val="0"/>
          <w:numId w:val="2"/>
        </w:numPr>
        <w:tabs>
          <w:tab w:val="left" w:pos="2076"/>
          <w:tab w:val="left" w:pos="4153"/>
          <w:tab w:val="left" w:pos="6229"/>
        </w:tabs>
        <w:kinsoku/>
        <w:wordWrap/>
        <w:overflowPunct/>
        <w:topLinePunct w:val="0"/>
        <w:autoSpaceDE/>
        <w:autoSpaceDN/>
        <w:bidi w:val="0"/>
        <w:adjustRightInd w:val="0"/>
        <w:snapToGrid w:val="0"/>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B．③④</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kinsoku/>
        <w:wordWrap/>
        <w:overflowPunct/>
        <w:topLinePunct w:val="0"/>
        <w:autoSpaceDE/>
        <w:autoSpaceDN/>
        <w:bidi w:val="0"/>
        <w:adjustRightInd w:val="0"/>
        <w:snapToGrid w:val="0"/>
        <w:spacing w:line="360" w:lineRule="auto"/>
        <w:jc w:val="left"/>
        <w:textAlignment w:val="center"/>
      </w:pPr>
      <w:r>
        <w:rPr>
          <w:rFonts w:hint="eastAsia"/>
          <w:lang w:val="en-US" w:eastAsia="zh-CN"/>
        </w:rPr>
        <w:t>6</w:t>
      </w:r>
      <w:r>
        <w:t>．阅读材料，回答下列问题，</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金秋上海，浦江奔涌。进博会又一次如约而至，拥胞八方来客。</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11月4日晚，国家主席习近平以视频方式出席第四届中国国际进口博览会开幕式并发表题为《让开放的春风温暖世界》的主旨演讲。</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三个“不会变”展现胸怀担当——“见出以知入，观往以知来”。中国扩大高水平开放的决心不会变，同世界分享发展机遇的决心不会变，推动经济全球化朝着更加开放、包容、普惠、平衡、共赢方向发展的决心不会变。这是不变的东方之诺，这是不变的中国担当。</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四个“坚定不移”彰显信心信念——坚定不移维护真正的多边主义、坚定不移同世界共享市场机遇、坚定不移推动高水平开放、坚定不移维护世界共同利益，这宣示了中国顺应经济全球化大势，携手世界各国推动人类走向更关好未来的信心和行动。</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center"/>
        <w:rPr>
          <w:rFonts w:ascii="楷体" w:hAnsi="楷体" w:eastAsia="楷体" w:cs="楷体"/>
        </w:rPr>
      </w:pPr>
      <w:r>
        <w:rPr>
          <w:rFonts w:ascii="楷体" w:hAnsi="楷体" w:eastAsia="楷体" w:cs="楷体"/>
        </w:rPr>
        <w:t>一个核心理念指引共创未来——“孤华者难起，众行者易趋”，习近平主席用形象的话语阐释了合作共赢才是人间正道的核心理念，中国愿同各国一道，共建开放型世界经济，让开放的春风温暖世界。</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rPr>
      </w:pPr>
      <w:r>
        <w:t>开放是当代中国的鲜明标识，中国开放的大门只会越开越大。结合材料，运用中国特色社会主义的知识说明其原因。</w:t>
      </w:r>
    </w:p>
    <w:sectPr>
      <w:headerReference r:id="rId3" w:type="default"/>
      <w:footerReference r:id="rId4" w:type="default"/>
      <w:footerReference r:id="rId5" w:type="even"/>
      <w:pgSz w:w="11907" w:h="16839"/>
      <w:pgMar w:top="851" w:right="851" w:bottom="851" w:left="1134" w:header="851" w:footer="992" w:gutter="0"/>
      <w:pgNumType w:fmt="decimal"/>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3.1</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FD0A4"/>
    <w:multiLevelType w:val="singleLevel"/>
    <w:tmpl w:val="285FD0A4"/>
    <w:lvl w:ilvl="0" w:tentative="0">
      <w:start w:val="1"/>
      <w:numFmt w:val="upperLetter"/>
      <w:suff w:val="space"/>
      <w:lvlText w:val="%1."/>
      <w:lvlJc w:val="left"/>
    </w:lvl>
  </w:abstractNum>
  <w:abstractNum w:abstractNumId="1">
    <w:nsid w:val="741CD443"/>
    <w:multiLevelType w:val="singleLevel"/>
    <w:tmpl w:val="741CD443"/>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173743A9"/>
    <w:rsid w:val="1E4E6A1F"/>
    <w:rsid w:val="34551DC3"/>
    <w:rsid w:val="363A6771"/>
    <w:rsid w:val="38175969"/>
    <w:rsid w:val="4AA0731B"/>
    <w:rsid w:val="55A436CC"/>
    <w:rsid w:val="5E9E7EFF"/>
    <w:rsid w:val="6D884E97"/>
    <w:rsid w:val="703C2D6E"/>
    <w:rsid w:val="721F372F"/>
    <w:rsid w:val="76947CAB"/>
    <w:rsid w:val="76F34AE4"/>
    <w:rsid w:val="78A8168E"/>
    <w:rsid w:val="7CE74983"/>
    <w:rsid w:val="7E15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9</Pages>
  <Words>5934</Words>
  <Characters>6032</Characters>
  <Lines>53</Lines>
  <Paragraphs>14</Paragraphs>
  <TotalTime>2</TotalTime>
  <ScaleCrop>false</ScaleCrop>
  <LinksUpToDate>false</LinksUpToDate>
  <CharactersWithSpaces>6314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2022-07-04T02:25:19Z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