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E91C" w14:textId="77777777" w:rsidR="00603691" w:rsidRDefault="00603691" w:rsidP="00603691">
      <w:pPr>
        <w:spacing w:line="420" w:lineRule="exact"/>
        <w:jc w:val="center"/>
      </w:pPr>
      <w:r>
        <w:rPr>
          <w:rFonts w:eastAsia="方正正中黑简体" w:hint="eastAsia"/>
          <w:sz w:val="28"/>
        </w:rPr>
        <w:t>题型</w:t>
      </w:r>
      <w:r>
        <w:rPr>
          <w:rFonts w:ascii="NEU-HZ-S92" w:hAnsi="NEU-HZ-S92"/>
          <w:sz w:val="28"/>
        </w:rPr>
        <w:t>6</w:t>
      </w:r>
      <w:r>
        <w:rPr>
          <w:sz w:val="28"/>
        </w:rPr>
        <w:t xml:space="preserve">　</w:t>
      </w:r>
      <w:r>
        <w:rPr>
          <w:rFonts w:eastAsia="方正正中黑简体" w:hint="eastAsia"/>
          <w:sz w:val="28"/>
        </w:rPr>
        <w:t>原因意义类主观题</w:t>
      </w:r>
    </w:p>
    <w:p w14:paraId="626DAF96" w14:textId="77777777" w:rsidR="00603691" w:rsidRDefault="00603691" w:rsidP="00603691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7C04F3D5" wp14:editId="650B32BB">
            <wp:extent cx="752760" cy="243720"/>
            <wp:effectExtent l="0" t="0" r="0" b="0"/>
            <wp:docPr id="108" name="题型揭秘.jpg" descr="id:21474940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5F439" w14:textId="77777777" w:rsidR="00603691" w:rsidRDefault="00603691" w:rsidP="00603691">
      <w:r w:rsidRPr="00603691">
        <w:rPr>
          <w:rFonts w:eastAsia="方正黑体_GBK" w:hint="eastAsia"/>
          <w:b/>
          <w:bCs/>
        </w:rPr>
        <w:t>题型特点</w:t>
      </w:r>
      <w:r w:rsidRPr="00603691">
        <w:rPr>
          <w:rFonts w:ascii="方正黑体_GBK" w:hAnsi="方正黑体_GBK"/>
          <w:b/>
          <w:bCs/>
        </w:rPr>
        <w:t>:</w:t>
      </w:r>
      <w:r>
        <w:rPr>
          <w:rFonts w:hint="eastAsia"/>
        </w:rPr>
        <w:t>原因意义类试题统称为“为什么”类试题</w:t>
      </w:r>
      <w:r>
        <w:rPr>
          <w:rFonts w:ascii="方正书宋_GBK" w:hAnsi="方正书宋_GBK"/>
        </w:rPr>
        <w:t>,</w:t>
      </w:r>
      <w:r>
        <w:rPr>
          <w:rFonts w:hint="eastAsia"/>
        </w:rPr>
        <w:t>即探究某一现象或者某一措施出现或者实施的原因</w:t>
      </w:r>
      <w:r>
        <w:rPr>
          <w:rFonts w:ascii="方正书宋_GBK" w:hAnsi="方正书宋_GBK"/>
        </w:rPr>
        <w:t>,</w:t>
      </w:r>
      <w:r>
        <w:rPr>
          <w:rFonts w:hint="eastAsia"/>
        </w:rPr>
        <w:t>以及产生的积极影响。这一类试题通常考查学生对某一事物或事件存在、发生、发展常见的必然性、必要性、重要性的认识。通过结合日常生活中的时事材料</w:t>
      </w:r>
      <w:r>
        <w:rPr>
          <w:rFonts w:ascii="方正书宋_GBK" w:hAnsi="方正书宋_GBK"/>
        </w:rPr>
        <w:t>,</w:t>
      </w:r>
      <w:r>
        <w:rPr>
          <w:rFonts w:hint="eastAsia"/>
        </w:rPr>
        <w:t>展示以“某一核心观点”为中心的具体现象、具体行动措施</w:t>
      </w:r>
      <w:r>
        <w:rPr>
          <w:rFonts w:ascii="方正书宋_GBK" w:hAnsi="方正书宋_GBK"/>
        </w:rPr>
        <w:t>,</w:t>
      </w:r>
      <w:r>
        <w:rPr>
          <w:rFonts w:hint="eastAsia"/>
        </w:rPr>
        <w:t>从理论依据、行为授予、现实意义三个角度</w:t>
      </w:r>
      <w:r>
        <w:rPr>
          <w:rFonts w:ascii="方正书宋_GBK" w:hAnsi="方正书宋_GBK"/>
        </w:rPr>
        <w:t>,</w:t>
      </w:r>
      <w:r>
        <w:rPr>
          <w:rFonts w:hint="eastAsia"/>
        </w:rPr>
        <w:t>来论证现象和措施的合理性。此类主观题经常采取的设问方式有</w:t>
      </w:r>
      <w:r>
        <w:rPr>
          <w:rFonts w:ascii="方正书宋_GBK" w:hAnsi="方正书宋_GBK"/>
        </w:rPr>
        <w:t>:</w:t>
      </w:r>
      <w:r>
        <w:rPr>
          <w:rFonts w:hint="eastAsia"/>
        </w:rPr>
        <w:t>“为什么……”“这样做的原因是什么”“这样做的必要性”“……的原因”“……的理由”“结合材料分析……的意义”“……对……有何积极影响”等。</w:t>
      </w:r>
    </w:p>
    <w:p w14:paraId="0AA6E34F" w14:textId="77777777" w:rsidR="00603691" w:rsidRPr="00603691" w:rsidRDefault="00603691" w:rsidP="00603691">
      <w:pPr>
        <w:rPr>
          <w:b/>
          <w:bCs/>
        </w:rPr>
      </w:pPr>
      <w:r w:rsidRPr="00603691">
        <w:rPr>
          <w:rFonts w:eastAsia="方正黑体_GBK" w:hint="eastAsia"/>
          <w:b/>
          <w:bCs/>
        </w:rPr>
        <w:t>解法指导</w:t>
      </w:r>
      <w:r w:rsidRPr="00603691">
        <w:rPr>
          <w:rFonts w:ascii="方正黑体_GBK" w:hAnsi="方正黑体_GBK"/>
          <w:b/>
          <w:bCs/>
        </w:rPr>
        <w:t>:</w:t>
      </w:r>
    </w:p>
    <w:p w14:paraId="3F6B14CE" w14:textId="77777777" w:rsidR="00603691" w:rsidRDefault="00603691" w:rsidP="00603691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79A60F9D" wp14:editId="72B1F883">
            <wp:extent cx="2660760" cy="1426320"/>
            <wp:effectExtent l="0" t="0" r="0" b="0"/>
            <wp:docPr id="109" name="22elzz-58.jpg" descr="id:21474940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0760" cy="142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F2307" w14:textId="77777777" w:rsidR="00603691" w:rsidRDefault="00603691" w:rsidP="00603691">
      <w:pPr>
        <w:spacing w:line="270" w:lineRule="atLeast"/>
      </w:pPr>
      <w:r>
        <w:rPr>
          <w:noProof/>
        </w:rPr>
        <w:drawing>
          <wp:inline distT="0" distB="0" distL="0" distR="0" wp14:anchorId="77E9E1D1" wp14:editId="6288FE7E">
            <wp:extent cx="627120" cy="91080"/>
            <wp:effectExtent l="0" t="0" r="0" b="0"/>
            <wp:docPr id="114" name="答题误区.jpg" descr="id:21474940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7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F88A0" w14:textId="77777777" w:rsidR="00603691" w:rsidRDefault="00603691" w:rsidP="00603691">
      <w:r>
        <w:t xml:space="preserve">　　</w:t>
      </w:r>
      <w:r>
        <w:rPr>
          <w:rFonts w:eastAsia="方正楷体_GBK" w:hint="eastAsia"/>
        </w:rPr>
        <w:t>不能准确抓住题型特点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误把原因意义类设问当成体现说明类或建议措施类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只</w:t>
      </w:r>
      <w:proofErr w:type="gramStart"/>
      <w:r>
        <w:rPr>
          <w:rFonts w:eastAsia="方正楷体_GBK" w:hint="eastAsia"/>
        </w:rPr>
        <w:t>答原因</w:t>
      </w:r>
      <w:proofErr w:type="gramEnd"/>
      <w:r>
        <w:rPr>
          <w:rFonts w:eastAsia="方正楷体_GBK" w:hint="eastAsia"/>
        </w:rPr>
        <w:t>或只</w:t>
      </w:r>
      <w:proofErr w:type="gramStart"/>
      <w:r>
        <w:rPr>
          <w:rFonts w:eastAsia="方正楷体_GBK" w:hint="eastAsia"/>
        </w:rPr>
        <w:t>答意义</w:t>
      </w:r>
      <w:proofErr w:type="gramEnd"/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不能根据材料有效信息准确联系知识点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逻辑表述混乱等。</w:t>
      </w:r>
    </w:p>
    <w:p w14:paraId="42F94E19" w14:textId="77777777" w:rsidR="00603691" w:rsidRPr="00603691" w:rsidRDefault="00603691" w:rsidP="00603691">
      <w:pPr>
        <w:rPr>
          <w:b/>
          <w:bCs/>
        </w:rPr>
      </w:pPr>
      <w:proofErr w:type="gramStart"/>
      <w:r w:rsidRPr="00603691">
        <w:rPr>
          <w:rFonts w:eastAsia="方正黑体_GBK" w:hint="eastAsia"/>
          <w:b/>
          <w:bCs/>
        </w:rPr>
        <w:t>举题悟法</w:t>
      </w:r>
      <w:proofErr w:type="gramEnd"/>
    </w:p>
    <w:p w14:paraId="7135E51A" w14:textId="77777777" w:rsidR="00603691" w:rsidRDefault="00603691" w:rsidP="00603691"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辽宁卷</w:t>
      </w:r>
      <w:r>
        <w:rPr>
          <w:rFonts w:ascii="方正楷体_GBK" w:hAnsi="方正楷体_GBK"/>
        </w:rPr>
        <w:t>)</w:t>
      </w:r>
      <w:r>
        <w:rPr>
          <w:rFonts w:hint="eastAsia"/>
        </w:rPr>
        <w:t>阅读材料</w:t>
      </w:r>
      <w:r>
        <w:rPr>
          <w:rFonts w:ascii="方正书宋_GBK" w:hAnsi="方正书宋_GBK"/>
        </w:rPr>
        <w:t>,</w:t>
      </w:r>
      <w:r>
        <w:rPr>
          <w:rFonts w:hint="eastAsia"/>
        </w:rPr>
        <w:t>完成下列要求。</w:t>
      </w:r>
    </w:p>
    <w:p w14:paraId="3BA31659" w14:textId="77777777" w:rsidR="00603691" w:rsidRDefault="00603691" w:rsidP="00603691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3C981372" wp14:editId="312ED6EE">
            <wp:extent cx="609480" cy="777240"/>
            <wp:effectExtent l="0" t="0" r="0" b="0"/>
            <wp:docPr id="115" name="22elzz-120.jpg" descr="id:21474941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2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D3091" w14:textId="77777777" w:rsidR="00603691" w:rsidRDefault="00603691" w:rsidP="00603691">
      <w:r>
        <w:t xml:space="preserve">　　</w:t>
      </w:r>
      <w:r>
        <w:rPr>
          <w:rFonts w:eastAsia="方正楷体_GBK" w:hint="eastAsia"/>
        </w:rPr>
        <w:t>“青花海水江崖纹三足炉”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见右图</w:t>
      </w:r>
      <w:r>
        <w:rPr>
          <w:rFonts w:ascii="方正楷体_GBK" w:hAnsi="方正楷体_GBK"/>
        </w:rPr>
        <w:t>)</w:t>
      </w:r>
      <w:r>
        <w:rPr>
          <w:rFonts w:eastAsia="方正楷体_GBK" w:hint="eastAsia"/>
        </w:rPr>
        <w:t>造于明永乐年间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外形为鼎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寓意“安定”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表面为海水江崖纹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寓意“山水相依、江山永固”。其技艺及蕴含的理念成为当时瓷器文化发展的重要引领。</w:t>
      </w:r>
    </w:p>
    <w:p w14:paraId="7B5D1B84" w14:textId="77777777" w:rsidR="00603691" w:rsidRDefault="00603691" w:rsidP="00603691">
      <w:r>
        <w:t xml:space="preserve">　　</w:t>
      </w:r>
      <w:r>
        <w:rPr>
          <w:rFonts w:eastAsia="方正楷体_GBK" w:hint="eastAsia"/>
        </w:rPr>
        <w:t>永乐时期青花瓷技法高超。它以胎釉精细、青花色泽浓艳、工艺独特而负盛名。随着烧造温度的提高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胎釉的釉面具有光滑、平静、细腻和莹润等特点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器物里外釉面均匀</w:t>
      </w:r>
      <w:r>
        <w:rPr>
          <w:rFonts w:ascii="方正楷体_GBK" w:hAnsi="方正楷体_GBK"/>
        </w:rPr>
        <w:t>;</w:t>
      </w:r>
      <w:proofErr w:type="gramStart"/>
      <w:r>
        <w:rPr>
          <w:rFonts w:eastAsia="方正楷体_GBK" w:hint="eastAsia"/>
        </w:rPr>
        <w:t>双勾</w:t>
      </w:r>
      <w:proofErr w:type="gramEnd"/>
      <w:r>
        <w:rPr>
          <w:rFonts w:eastAsia="方正楷体_GBK" w:hint="eastAsia"/>
        </w:rPr>
        <w:t>填色的图案花纹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使用小笔触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改变以往大笔涂抹的方法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使纹饰颜色深浅不一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错落有致。</w:t>
      </w:r>
    </w:p>
    <w:p w14:paraId="3DF58612" w14:textId="77777777" w:rsidR="00603691" w:rsidRDefault="00603691" w:rsidP="00603691">
      <w:r>
        <w:t xml:space="preserve">　　</w:t>
      </w:r>
      <w:r>
        <w:rPr>
          <w:rFonts w:eastAsia="方正楷体_GBK" w:hint="eastAsia"/>
        </w:rPr>
        <w:t>永乐时期青花瓷艺术精湛。能工巧匠们将中东和西亚地区的文化元素</w:t>
      </w:r>
      <w:proofErr w:type="gramStart"/>
      <w:r>
        <w:rPr>
          <w:rFonts w:eastAsia="方正楷体_GBK" w:hint="eastAsia"/>
        </w:rPr>
        <w:t>杂糅进</w:t>
      </w:r>
      <w:proofErr w:type="gramEnd"/>
      <w:r>
        <w:rPr>
          <w:rFonts w:eastAsia="方正楷体_GBK" w:hint="eastAsia"/>
        </w:rPr>
        <w:t>青花瓷器中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使其造型灵巧、清秀、端庄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线条优美飘逸、疏朗秀丽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从而形成了一种独特的时代风格。海水的纹饰开始被大量地运用到瓷器中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在丝绸之路上传递着“山水相依、守望相助”的理念。</w:t>
      </w:r>
    </w:p>
    <w:p w14:paraId="0F2548C5" w14:textId="77777777" w:rsidR="00603691" w:rsidRDefault="00603691" w:rsidP="00603691">
      <w:r>
        <w:t xml:space="preserve">　　</w:t>
      </w:r>
      <w:r>
        <w:rPr>
          <w:rFonts w:eastAsia="方正楷体_GBK" w:hint="eastAsia"/>
        </w:rPr>
        <w:t>永乐时期青花瓷成为中国瓷器史上一个重要的里程碑。</w:t>
      </w:r>
    </w:p>
    <w:p w14:paraId="24655415" w14:textId="77777777" w:rsidR="00603691" w:rsidRDefault="00603691" w:rsidP="00603691">
      <w:r>
        <w:rPr>
          <w:rFonts w:hint="eastAsia"/>
        </w:rPr>
        <w:t>结合材料并运用中华文化相关知识</w:t>
      </w:r>
      <w:r>
        <w:rPr>
          <w:rFonts w:ascii="方正书宋_GBK" w:hAnsi="方正书宋_GBK"/>
        </w:rPr>
        <w:t>,</w:t>
      </w:r>
      <w:r>
        <w:rPr>
          <w:rFonts w:hint="eastAsia"/>
        </w:rPr>
        <w:t>分析永乐时期青花瓷成为中国瓷器史上里程碑的原因。</w:t>
      </w:r>
      <w:r>
        <w:rPr>
          <w:rFonts w:ascii="方正楷体_GBK" w:hAnsi="方正楷体_GBK"/>
        </w:rPr>
        <w:t>(</w:t>
      </w:r>
      <w:r>
        <w:t>8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5E576B0A" w14:textId="77777777" w:rsidR="00603691" w:rsidRDefault="00603691" w:rsidP="00603691"/>
    <w:p w14:paraId="5AB24E6D" w14:textId="77777777" w:rsidR="00603691" w:rsidRDefault="00603691" w:rsidP="00603691"/>
    <w:p w14:paraId="057785BE" w14:textId="77777777" w:rsidR="00603691" w:rsidRDefault="00603691" w:rsidP="00603691"/>
    <w:p w14:paraId="55526AD7" w14:textId="77777777" w:rsidR="00603691" w:rsidRDefault="00603691" w:rsidP="00603691"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t>2020</w:t>
      </w:r>
      <w:r>
        <w:rPr>
          <w:rFonts w:eastAsia="方正楷体_GBK" w:hint="eastAsia"/>
        </w:rPr>
        <w:t>年</w:t>
      </w:r>
      <w:r>
        <w:t>3</w:t>
      </w:r>
      <w:r>
        <w:rPr>
          <w:rFonts w:eastAsia="方正楷体_GBK" w:hint="eastAsia"/>
        </w:rPr>
        <w:t>月</w:t>
      </w:r>
      <w:r>
        <w:t>17</w:t>
      </w:r>
      <w:r>
        <w:rPr>
          <w:rFonts w:eastAsia="方正楷体_GBK" w:hint="eastAsia"/>
        </w:rPr>
        <w:t>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中国传统村落数字博物馆</w:t>
      </w:r>
      <w:r>
        <w:t>2019</w:t>
      </w:r>
      <w:r>
        <w:rPr>
          <w:rFonts w:eastAsia="方正楷体_GBK" w:hint="eastAsia"/>
        </w:rPr>
        <w:t>年度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第二批</w:t>
      </w:r>
      <w:r>
        <w:rPr>
          <w:rFonts w:ascii="方正楷体_GBK" w:hAnsi="方正楷体_GBK"/>
        </w:rPr>
        <w:t>)</w:t>
      </w:r>
      <w:r>
        <w:t>211</w:t>
      </w:r>
      <w:r>
        <w:rPr>
          <w:rFonts w:eastAsia="方正楷体_GBK" w:hint="eastAsia"/>
        </w:rPr>
        <w:t>个村落</w:t>
      </w:r>
      <w:proofErr w:type="gramStart"/>
      <w:r>
        <w:rPr>
          <w:rFonts w:eastAsia="方正楷体_GBK" w:hint="eastAsia"/>
        </w:rPr>
        <w:t>单馆统一</w:t>
      </w:r>
      <w:proofErr w:type="gramEnd"/>
      <w:r>
        <w:rPr>
          <w:rFonts w:eastAsia="方正楷体_GBK" w:hint="eastAsia"/>
        </w:rPr>
        <w:t>上线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市民足不出户就能遍</w:t>
      </w:r>
      <w:proofErr w:type="gramStart"/>
      <w:r>
        <w:rPr>
          <w:rFonts w:eastAsia="方正楷体_GBK" w:hint="eastAsia"/>
        </w:rPr>
        <w:t>览</w:t>
      </w:r>
      <w:proofErr w:type="gramEnd"/>
      <w:r>
        <w:rPr>
          <w:rFonts w:eastAsia="方正楷体_GBK" w:hint="eastAsia"/>
        </w:rPr>
        <w:t>线上的</w:t>
      </w:r>
      <w:r>
        <w:t>376</w:t>
      </w:r>
      <w:r>
        <w:rPr>
          <w:rFonts w:eastAsia="方正楷体_GBK" w:hint="eastAsia"/>
        </w:rPr>
        <w:t>个国家级传统村落的田园风情。这些传统村落都具有重要的历史文化价值和鲜明的地域民族特色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是国家确定保护的农耕时代创造的历史文明遗产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是中华民族根性的家园。</w:t>
      </w:r>
    </w:p>
    <w:p w14:paraId="55D9A95F" w14:textId="77777777" w:rsidR="00603691" w:rsidRDefault="00603691" w:rsidP="00603691">
      <w:r>
        <w:rPr>
          <w:rFonts w:hint="eastAsia"/>
        </w:rPr>
        <w:t>结合材料</w:t>
      </w:r>
      <w:r>
        <w:rPr>
          <w:rFonts w:ascii="方正书宋_GBK" w:hAnsi="方正书宋_GBK"/>
        </w:rPr>
        <w:t>,</w:t>
      </w:r>
      <w:r>
        <w:rPr>
          <w:rFonts w:hint="eastAsia"/>
        </w:rPr>
        <w:t>从《文化生活》角度</w:t>
      </w:r>
      <w:r>
        <w:rPr>
          <w:rFonts w:ascii="方正书宋_GBK" w:hAnsi="方正书宋_GBK"/>
        </w:rPr>
        <w:t>,</w:t>
      </w:r>
      <w:r>
        <w:rPr>
          <w:rFonts w:hint="eastAsia"/>
        </w:rPr>
        <w:t>阐述保护中国传统村落这一“根性的家园”的文化意义。</w:t>
      </w:r>
      <w:r>
        <w:rPr>
          <w:rFonts w:ascii="方正楷体_GBK" w:hAnsi="方正楷体_GBK"/>
        </w:rPr>
        <w:t>(</w:t>
      </w:r>
      <w:r>
        <w:t>12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1A43979A" w14:textId="77777777" w:rsidR="00603691" w:rsidRDefault="00603691" w:rsidP="00603691"/>
    <w:p w14:paraId="2E1BAC9D" w14:textId="77777777" w:rsidR="00603691" w:rsidRDefault="00603691" w:rsidP="00603691"/>
    <w:p w14:paraId="76B9C951" w14:textId="77777777" w:rsidR="00603691" w:rsidRDefault="00603691" w:rsidP="00603691"/>
    <w:p w14:paraId="506D10CD" w14:textId="77777777" w:rsidR="00603691" w:rsidRDefault="00603691" w:rsidP="00603691">
      <w:pPr>
        <w:spacing w:line="270" w:lineRule="atLeast"/>
        <w:jc w:val="center"/>
      </w:pPr>
      <w:r>
        <w:rPr>
          <w:noProof/>
        </w:rPr>
        <w:lastRenderedPageBreak/>
        <w:drawing>
          <wp:inline distT="0" distB="0" distL="0" distR="0" wp14:anchorId="6CF82C1E" wp14:editId="07C17BEE">
            <wp:extent cx="752760" cy="243720"/>
            <wp:effectExtent l="0" t="0" r="0" b="0"/>
            <wp:docPr id="116" name="举题固法.jpg" descr="id:21474941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9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635D" w14:textId="77777777" w:rsidR="00603691" w:rsidRDefault="00603691" w:rsidP="00603691"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无锡</w:t>
      </w:r>
      <w:proofErr w:type="gramStart"/>
      <w:r>
        <w:rPr>
          <w:rFonts w:eastAsia="方正楷体_GBK" w:hint="eastAsia"/>
        </w:rPr>
        <w:t>一</w:t>
      </w:r>
      <w:proofErr w:type="gramEnd"/>
      <w:r>
        <w:rPr>
          <w:rFonts w:eastAsia="方正楷体_GBK" w:hint="eastAsia"/>
        </w:rPr>
        <w:t>模</w:t>
      </w:r>
      <w:r>
        <w:rPr>
          <w:rFonts w:ascii="方正楷体_GBK" w:hAnsi="方正楷体_GBK"/>
        </w:rPr>
        <w:t>)</w:t>
      </w:r>
      <w:r>
        <w:rPr>
          <w:rFonts w:eastAsia="方正楷体_GBK" w:hint="eastAsia"/>
        </w:rPr>
        <w:t>中华民族的历史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也是一部中医与疾病斗争的历史。中医药学是一代</w:t>
      </w:r>
      <w:proofErr w:type="gramStart"/>
      <w:r>
        <w:rPr>
          <w:rFonts w:eastAsia="方正楷体_GBK" w:hint="eastAsia"/>
        </w:rPr>
        <w:t>代</w:t>
      </w:r>
      <w:proofErr w:type="gramEnd"/>
      <w:r>
        <w:rPr>
          <w:rFonts w:eastAsia="方正楷体_GBK" w:hint="eastAsia"/>
        </w:rPr>
        <w:t>中华民族的行医者与疾病的不懈斗争中不断探索形成的科学认识。它吸纳了中国古代哲学中“天人合一”的思想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树立了“道法自然”的疾病预防和治疗原则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倡导“仁心仁术”“大医精诚”的医德。中医药学</w:t>
      </w:r>
      <w:proofErr w:type="gramStart"/>
      <w:r>
        <w:rPr>
          <w:rFonts w:eastAsia="方正楷体_GBK" w:hint="eastAsia"/>
        </w:rPr>
        <w:t>护佑着</w:t>
      </w:r>
      <w:proofErr w:type="gramEnd"/>
      <w:r>
        <w:rPr>
          <w:rFonts w:eastAsia="方正楷体_GBK" w:hint="eastAsia"/>
        </w:rPr>
        <w:t>中华民族的繁衍昌盛。</w:t>
      </w:r>
    </w:p>
    <w:p w14:paraId="0C32A6ED" w14:textId="77777777" w:rsidR="00603691" w:rsidRDefault="00603691" w:rsidP="00603691">
      <w:pPr>
        <w:ind w:firstLineChars="200" w:firstLine="360"/>
      </w:pPr>
      <w:r>
        <w:rPr>
          <w:rFonts w:eastAsia="方正楷体_GBK" w:hint="eastAsia"/>
        </w:rPr>
        <w:t>近百年来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随着西医成为主流医学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“中医太落后”“中医不科学”等质疑之声不绝于耳。实际上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中医早已在吸收新知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通过与生物信息学结合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建立了多个中药数据库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能够及时筛选有效药物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预测药物作用机制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进行处方优化及评价等。中医在</w:t>
      </w:r>
      <w:r>
        <w:t>SARS</w:t>
      </w:r>
      <w:r>
        <w:rPr>
          <w:rFonts w:eastAsia="方正楷体_GBK" w:hint="eastAsia"/>
        </w:rPr>
        <w:t>、新型禽流感、新冠肺炎等疫情防控中发挥了重要的作用。中医药学在临床上的有效性是对中医学“太落后”“不科学”的有力反击。西医在探寻病源并努力发明疫苗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中医也在展其所长、持续发力。</w:t>
      </w:r>
    </w:p>
    <w:p w14:paraId="0E3A9829" w14:textId="77777777" w:rsidR="00603691" w:rsidRDefault="00603691" w:rsidP="00603691">
      <w:pPr>
        <w:ind w:firstLineChars="200" w:firstLine="360"/>
      </w:pPr>
      <w:r>
        <w:rPr>
          <w:rFonts w:eastAsia="方正楷体_GBK" w:hint="eastAsia"/>
        </w:rPr>
        <w:t>党和政府高度重视中医药工作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中医药发展上升为国家战略。但中医药学发展仍然举步维艰。当前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中医药管理体制机制不完善不健全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中医药管理机构职能薄弱。而在中医的群体中也存在不懂中医、却打着中医幌子捞钱害人、败坏中医名声的人。全国中药生产线能达到数字化、智能化的还很少。</w:t>
      </w:r>
    </w:p>
    <w:p w14:paraId="78EC20FE" w14:textId="77777777" w:rsidR="00603691" w:rsidRDefault="00603691" w:rsidP="00603691">
      <w:r>
        <w:rPr>
          <w:rFonts w:hint="eastAsia"/>
        </w:rPr>
        <w:t>结合上述材料</w:t>
      </w:r>
      <w:r>
        <w:rPr>
          <w:rFonts w:ascii="方正书宋_GBK" w:hAnsi="方正书宋_GBK"/>
        </w:rPr>
        <w:t>,</w:t>
      </w:r>
      <w:r>
        <w:rPr>
          <w:rFonts w:hint="eastAsia"/>
        </w:rPr>
        <w:t>回答下列问题</w:t>
      </w:r>
      <w:r>
        <w:rPr>
          <w:rFonts w:ascii="方正书宋_GBK" w:hAnsi="方正书宋_GBK"/>
        </w:rPr>
        <w:t>:</w:t>
      </w:r>
    </w:p>
    <w:p w14:paraId="15BAA580" w14:textId="77777777" w:rsidR="00603691" w:rsidRDefault="00603691" w:rsidP="00603691"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运用《文化生活》知识</w:t>
      </w:r>
      <w:r>
        <w:rPr>
          <w:rFonts w:ascii="方正书宋_GBK" w:hAnsi="方正书宋_GBK"/>
        </w:rPr>
        <w:t>,</w:t>
      </w:r>
      <w:r>
        <w:rPr>
          <w:rFonts w:hint="eastAsia"/>
        </w:rPr>
        <w:t>说明中医药为什么能在今天的抗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中发挥重要作用。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346BED0D" w14:textId="77777777" w:rsidR="00603691" w:rsidRDefault="00603691" w:rsidP="00603691"/>
    <w:p w14:paraId="2B71E57D" w14:textId="77777777" w:rsidR="00603691" w:rsidRDefault="00603691" w:rsidP="00603691"/>
    <w:p w14:paraId="4B7DB71D" w14:textId="77777777" w:rsidR="00603691" w:rsidRDefault="00603691" w:rsidP="00603691"/>
    <w:p w14:paraId="30E6B10C" w14:textId="77777777" w:rsidR="00603691" w:rsidRDefault="00603691" w:rsidP="00603691"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围绕中西医在疾病防治中的作用</w:t>
      </w:r>
      <w:r>
        <w:rPr>
          <w:rFonts w:ascii="方正书宋_GBK" w:hAnsi="方正书宋_GBK"/>
        </w:rPr>
        <w:t>,</w:t>
      </w:r>
      <w:r>
        <w:rPr>
          <w:rFonts w:hint="eastAsia"/>
        </w:rPr>
        <w:t>有人认为</w:t>
      </w:r>
      <w:r>
        <w:rPr>
          <w:rFonts w:ascii="方正书宋_GBK" w:hAnsi="方正书宋_GBK"/>
        </w:rPr>
        <w:t>:</w:t>
      </w:r>
      <w:r>
        <w:rPr>
          <w:rFonts w:hint="eastAsia"/>
        </w:rPr>
        <w:t>中医是我国几千年传承的国粹</w:t>
      </w:r>
      <w:r>
        <w:rPr>
          <w:rFonts w:ascii="方正书宋_GBK" w:hAnsi="方正书宋_GBK"/>
        </w:rPr>
        <w:t>,</w:t>
      </w:r>
      <w:r>
        <w:rPr>
          <w:rFonts w:hint="eastAsia"/>
        </w:rPr>
        <w:t>比西医更能医治病根</w:t>
      </w:r>
      <w:r>
        <w:rPr>
          <w:rFonts w:ascii="方正书宋_GBK" w:hAnsi="方正书宋_GBK"/>
        </w:rPr>
        <w:t>;</w:t>
      </w:r>
      <w:r>
        <w:rPr>
          <w:rFonts w:hint="eastAsia"/>
        </w:rPr>
        <w:t>也有人认为西医建立在现代科学基础之上</w:t>
      </w:r>
      <w:r>
        <w:rPr>
          <w:rFonts w:ascii="方正书宋_GBK" w:hAnsi="方正书宋_GBK"/>
        </w:rPr>
        <w:t>,</w:t>
      </w:r>
      <w:r>
        <w:rPr>
          <w:rFonts w:hint="eastAsia"/>
        </w:rPr>
        <w:t>治疗效果更快更有效。请运用认识论的相关知识</w:t>
      </w:r>
      <w:r>
        <w:rPr>
          <w:rFonts w:ascii="方正书宋_GBK" w:hAnsi="方正书宋_GBK"/>
        </w:rPr>
        <w:t>,</w:t>
      </w:r>
      <w:r>
        <w:rPr>
          <w:rFonts w:hint="eastAsia"/>
        </w:rPr>
        <w:t>综合评析这两种观点。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1D22E736" w14:textId="77777777" w:rsidR="00603691" w:rsidRDefault="00603691" w:rsidP="00603691"/>
    <w:p w14:paraId="5F0CD1E4" w14:textId="77777777" w:rsidR="00603691" w:rsidRDefault="00603691" w:rsidP="00603691"/>
    <w:p w14:paraId="09DCF86A" w14:textId="77777777" w:rsidR="00603691" w:rsidRDefault="00603691" w:rsidP="00603691"/>
    <w:p w14:paraId="7D32B326" w14:textId="77777777" w:rsidR="00603691" w:rsidRDefault="00603691" w:rsidP="00603691"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南通期中</w:t>
      </w:r>
      <w:r>
        <w:rPr>
          <w:rFonts w:ascii="方正楷体_GBK" w:hAnsi="方正楷体_GBK"/>
        </w:rPr>
        <w:t>)</w:t>
      </w:r>
      <w:r>
        <w:rPr>
          <w:rFonts w:eastAsia="方正楷体_GBK" w:hint="eastAsia"/>
        </w:rPr>
        <w:t>在国外疫情快速蔓延、叠加经济全球化遭遇逆流的外部大环境下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中央提出要加快形成“以国内大循环为主体、国内国际双循环相互促进”的新发展格局。我国拥有超大市场规模优势和巨大的消费市场潜力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因而国内大循环要立足扩大国内消费需求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打通国内生产、分配、交换、消费的各个环节。但当前商品质量标准体系、消费环境、服务消费基础设施等仍不能满足居民消费提质升级的需求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应着力解决。同时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要通过积极推动新型全球化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推进“一带一路”建设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更好地利用国际国内两个市场、两种资源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实现中国经济更加强劲可持续发展。</w:t>
      </w:r>
    </w:p>
    <w:p w14:paraId="1D0FC54C" w14:textId="77777777" w:rsidR="00603691" w:rsidRDefault="00603691" w:rsidP="00603691">
      <w:r>
        <w:rPr>
          <w:rFonts w:hint="eastAsia"/>
        </w:rPr>
        <w:t>运用规律的知识</w:t>
      </w:r>
      <w:r>
        <w:rPr>
          <w:rFonts w:ascii="方正书宋_GBK" w:hAnsi="方正书宋_GBK"/>
        </w:rPr>
        <w:t>,</w:t>
      </w:r>
      <w:r>
        <w:rPr>
          <w:rFonts w:hint="eastAsia"/>
        </w:rPr>
        <w:t>说明当前我国构建“以国内大循环为主体、国内国际双循环相互促进”新发展格局的合理性。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0110BE45" w14:textId="77777777" w:rsidR="00603691" w:rsidRDefault="00603691" w:rsidP="00603691"/>
    <w:p w14:paraId="7A5FFF61" w14:textId="77777777" w:rsidR="00603691" w:rsidRDefault="00603691" w:rsidP="00603691"/>
    <w:p w14:paraId="4FD533C9" w14:textId="77777777" w:rsidR="00603691" w:rsidRDefault="00603691" w:rsidP="00603691"/>
    <w:p w14:paraId="41307BAA" w14:textId="77777777" w:rsidR="00603691" w:rsidRDefault="00603691" w:rsidP="00603691"/>
    <w:p w14:paraId="262BBF46" w14:textId="77777777" w:rsidR="00305226" w:rsidRPr="00603691" w:rsidRDefault="00305226" w:rsidP="00603691"/>
    <w:sectPr w:rsidR="00305226" w:rsidRPr="0060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4729" w14:textId="77777777" w:rsidR="0004065B" w:rsidRDefault="0004065B" w:rsidP="00603691">
      <w:pPr>
        <w:spacing w:line="240" w:lineRule="auto"/>
      </w:pPr>
      <w:r>
        <w:separator/>
      </w:r>
    </w:p>
  </w:endnote>
  <w:endnote w:type="continuationSeparator" w:id="0">
    <w:p w14:paraId="032A54D2" w14:textId="77777777" w:rsidR="0004065B" w:rsidRDefault="0004065B" w:rsidP="00603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正中黑简体">
    <w:altName w:val="宋体"/>
    <w:panose1 w:val="00000000000000000000"/>
    <w:charset w:val="86"/>
    <w:family w:val="roman"/>
    <w:notTrueType/>
    <w:pitch w:val="default"/>
  </w:font>
  <w:font w:name="NEU-H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B28B" w14:textId="77777777" w:rsidR="0004065B" w:rsidRDefault="0004065B" w:rsidP="00603691">
      <w:pPr>
        <w:spacing w:line="240" w:lineRule="auto"/>
      </w:pPr>
      <w:r>
        <w:separator/>
      </w:r>
    </w:p>
  </w:footnote>
  <w:footnote w:type="continuationSeparator" w:id="0">
    <w:p w14:paraId="0BEDBD5C" w14:textId="77777777" w:rsidR="0004065B" w:rsidRDefault="0004065B" w:rsidP="00603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EE"/>
    <w:rsid w:val="0004065B"/>
    <w:rsid w:val="00305226"/>
    <w:rsid w:val="00542CEE"/>
    <w:rsid w:val="0060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72A770-BF88-4E18-A3DA-525CC6D4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91"/>
    <w:pPr>
      <w:spacing w:line="270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603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69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603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2021-10-28T03:35:00Z</dcterms:created>
  <dcterms:modified xsi:type="dcterms:W3CDTF">2021-10-28T03:36:00Z</dcterms:modified>
</cp:coreProperties>
</file>