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hint="default" w:ascii="宋体" w:hAnsi="宋体" w:eastAsia="宋体" w:cs="宋体"/>
          <w:b/>
          <w:color w:val="auto"/>
          <w:sz w:val="32"/>
          <w:lang w:val="en-US"/>
        </w:rPr>
        <w:drawing>
          <wp:anchor distT="0" distB="0" distL="114300" distR="114300" simplePos="0" relativeHeight="251659264" behindDoc="0" locked="0" layoutInCell="1" allowOverlap="1">
            <wp:simplePos x="0" y="0"/>
            <wp:positionH relativeFrom="page">
              <wp:posOffset>10172700</wp:posOffset>
            </wp:positionH>
            <wp:positionV relativeFrom="topMargin">
              <wp:posOffset>11849100</wp:posOffset>
            </wp:positionV>
            <wp:extent cx="469900" cy="342900"/>
            <wp:effectExtent l="0" t="0" r="635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0"/>
                    <a:stretch>
                      <a:fillRect/>
                    </a:stretch>
                  </pic:blipFill>
                  <pic:spPr>
                    <a:xfrm>
                      <a:off x="0" y="0"/>
                      <a:ext cx="469900" cy="342900"/>
                    </a:xfrm>
                    <a:prstGeom prst="rect">
                      <a:avLst/>
                    </a:prstGeom>
                  </pic:spPr>
                </pic:pic>
              </a:graphicData>
            </a:graphic>
          </wp:anchor>
        </w:drawing>
      </w:r>
      <w:r>
        <w:rPr>
          <w:rFonts w:hint="eastAsia" w:ascii="宋体" w:hAnsi="宋体" w:cs="宋体"/>
          <w:b/>
          <w:color w:val="auto"/>
          <w:sz w:val="32"/>
          <w:lang w:val="en-US" w:eastAsia="zh-CN"/>
        </w:rPr>
        <w:t>江苏省仪征中学</w:t>
      </w:r>
      <w:r>
        <w:rPr>
          <w:rFonts w:ascii="宋体" w:hAnsi="宋体" w:eastAsia="宋体" w:cs="宋体"/>
          <w:b/>
          <w:color w:val="auto"/>
          <w:sz w:val="32"/>
        </w:rPr>
        <w:t>高三语文</w:t>
      </w:r>
      <w:r>
        <w:rPr>
          <w:rFonts w:hint="eastAsia" w:ascii="宋体" w:hAnsi="宋体" w:cs="宋体"/>
          <w:b/>
          <w:color w:val="auto"/>
          <w:sz w:val="32"/>
          <w:lang w:eastAsia="zh-CN"/>
        </w:rPr>
        <w:t>期末复习卷三</w:t>
      </w:r>
    </w:p>
    <w:p>
      <w:pPr>
        <w:keepNext w:val="0"/>
        <w:keepLines w:val="0"/>
        <w:pageBreakBefore w:val="0"/>
        <w:widowControl w:val="0"/>
        <w:kinsoku/>
        <w:wordWrap/>
        <w:overflowPunct/>
        <w:topLinePunct w:val="0"/>
        <w:autoSpaceDE/>
        <w:autoSpaceDN/>
        <w:bidi w:val="0"/>
        <w:adjustRightInd/>
        <w:snapToGrid/>
        <w:spacing w:line="240" w:lineRule="auto"/>
        <w:jc w:val="left"/>
      </w:pPr>
      <w:r>
        <w:rPr>
          <w:rFonts w:ascii="宋体" w:hAnsi="宋体" w:eastAsia="宋体" w:cs="宋体"/>
          <w:b/>
          <w:color w:val="auto"/>
          <w:sz w:val="24"/>
        </w:rPr>
        <w:t>一、现代文阅读（</w:t>
      </w:r>
      <w:r>
        <w:rPr>
          <w:rFonts w:hint="eastAsia" w:ascii="宋体" w:hAnsi="宋体" w:cs="宋体"/>
          <w:b/>
          <w:color w:val="auto"/>
          <w:sz w:val="24"/>
          <w:lang w:val="en-US" w:eastAsia="zh-CN"/>
        </w:rPr>
        <w:t>19</w:t>
      </w:r>
      <w:r>
        <w:rPr>
          <w:rFonts w:ascii="宋体" w:hAnsi="宋体" w:eastAsia="宋体" w:cs="宋体"/>
          <w:b/>
          <w:color w:val="auto"/>
          <w:sz w:val="24"/>
        </w:rPr>
        <w:t>分）</w:t>
      </w:r>
    </w:p>
    <w:p>
      <w:pPr>
        <w:keepNext w:val="0"/>
        <w:keepLines w:val="0"/>
        <w:pageBreakBefore w:val="0"/>
        <w:widowControl w:val="0"/>
        <w:kinsoku/>
        <w:wordWrap/>
        <w:overflowPunct/>
        <w:topLinePunct w:val="0"/>
        <w:autoSpaceDE/>
        <w:autoSpaceDN/>
        <w:bidi w:val="0"/>
        <w:adjustRightInd/>
        <w:snapToGrid/>
        <w:spacing w:line="240" w:lineRule="auto"/>
        <w:ind w:firstLine="420"/>
        <w:jc w:val="left"/>
      </w:pPr>
      <w:r>
        <w:rPr>
          <w:rFonts w:ascii="宋体" w:hAnsi="宋体" w:eastAsia="宋体" w:cs="宋体"/>
          <w:color w:val="auto"/>
        </w:rPr>
        <w:t>阅读下面的文字，完成下面小题。</w:t>
      </w:r>
    </w:p>
    <w:p>
      <w:pPr>
        <w:keepNext w:val="0"/>
        <w:keepLines w:val="0"/>
        <w:pageBreakBefore w:val="0"/>
        <w:widowControl w:val="0"/>
        <w:kinsoku/>
        <w:wordWrap/>
        <w:overflowPunct/>
        <w:topLinePunct w:val="0"/>
        <w:autoSpaceDE/>
        <w:autoSpaceDN/>
        <w:bidi w:val="0"/>
        <w:adjustRightInd/>
        <w:snapToGrid/>
        <w:spacing w:line="240" w:lineRule="auto"/>
        <w:ind w:firstLine="420"/>
        <w:jc w:val="left"/>
      </w:pPr>
      <w:r>
        <w:rPr>
          <w:rFonts w:ascii="楷体" w:hAnsi="楷体" w:eastAsia="楷体" w:cs="楷体"/>
          <w:color w:val="auto"/>
        </w:rPr>
        <w:t>游戏是快乐的，这种快乐在释放用户主体性的数字时代得到充分体现，从人们对文学的消费活动来看，它在很大程度上成了一种基于玩乐心理的游戏。</w:t>
      </w:r>
    </w:p>
    <w:p>
      <w:pPr>
        <w:keepNext w:val="0"/>
        <w:keepLines w:val="0"/>
        <w:pageBreakBefore w:val="0"/>
        <w:widowControl w:val="0"/>
        <w:kinsoku/>
        <w:wordWrap/>
        <w:overflowPunct/>
        <w:topLinePunct w:val="0"/>
        <w:autoSpaceDE/>
        <w:autoSpaceDN/>
        <w:bidi w:val="0"/>
        <w:adjustRightInd/>
        <w:snapToGrid/>
        <w:spacing w:line="240" w:lineRule="auto"/>
        <w:ind w:firstLine="420"/>
        <w:jc w:val="left"/>
      </w:pPr>
      <w:r>
        <w:rPr>
          <w:rFonts w:ascii="楷体" w:hAnsi="楷体" w:eastAsia="楷体" w:cs="楷体"/>
          <w:color w:val="auto"/>
        </w:rPr>
        <w:t>英国学者威廉·斯蒂芬森主张从游戏范式来理解传播，认为大众传播研究严重忽视游戏元素，应从传统信息理论走向游戏理论。受行为主义心理学影响的传统传播效果研究，将信息刺激与受众反应之间看成线性关系，忽视其个体差异与精神复杂性。在斯蒂芬森看来，用户在传播中是体验快乐的主体，比如人们看报纸，并非必需任务，也无明确目标，而是随心所欲浏览，成为自主性游戏。</w:t>
      </w:r>
    </w:p>
    <w:p>
      <w:pPr>
        <w:keepNext w:val="0"/>
        <w:keepLines w:val="0"/>
        <w:pageBreakBefore w:val="0"/>
        <w:widowControl w:val="0"/>
        <w:kinsoku/>
        <w:wordWrap/>
        <w:overflowPunct/>
        <w:topLinePunct w:val="0"/>
        <w:autoSpaceDE/>
        <w:autoSpaceDN/>
        <w:bidi w:val="0"/>
        <w:adjustRightInd/>
        <w:snapToGrid/>
        <w:spacing w:line="240" w:lineRule="auto"/>
        <w:ind w:firstLine="420"/>
        <w:jc w:val="left"/>
      </w:pPr>
      <w:r>
        <w:rPr>
          <w:rFonts w:ascii="楷体" w:hAnsi="楷体" w:eastAsia="楷体" w:cs="楷体"/>
          <w:color w:val="auto"/>
        </w:rPr>
        <w:t>斯蒂芬森强调从信息范式走向游戏范式，这种范式转换显然在当下具有很大阐释力。当代社会是闲暇社会，网络兴起后，数字化休闲更是成为人们的日常生活，网络聊天、角色扮演、自拍展示、操控、互动、恶搞、玩梗……网民种种行为都带有游戏性。斯蒂芬森所在的时代还没有网络，传播中的游戏行为主要基于想象，而现在人们可以充分互动、操作，更有参与、行动的游戏感。这也表现在文学上，网民对文学的态度主要基于游戏心理，对文学的阅读、“代入”、戏仿、分享、玩梗、吐槽，以及二次创作，主要是为了“好玩”。需要注意的是，游戏性并不限于娱乐性较强的大众文学的消费活动，而是指整个数字时代的文学，不管是大众文学还是精英文学，只要它在网上消费时，都会出现游戏行为，比如传统经典《红楼梦》，网络上有大量关于它的角色扮演、玩梗与二次创作，又比如超文本文学、超媒体文学，对它们的阅读与互动本身就带有游戏性。</w:t>
      </w:r>
    </w:p>
    <w:p>
      <w:pPr>
        <w:keepNext w:val="0"/>
        <w:keepLines w:val="0"/>
        <w:pageBreakBefore w:val="0"/>
        <w:widowControl w:val="0"/>
        <w:kinsoku/>
        <w:wordWrap/>
        <w:overflowPunct/>
        <w:topLinePunct w:val="0"/>
        <w:autoSpaceDE/>
        <w:autoSpaceDN/>
        <w:bidi w:val="0"/>
        <w:adjustRightInd/>
        <w:snapToGrid/>
        <w:spacing w:line="240" w:lineRule="auto"/>
        <w:ind w:firstLine="420"/>
        <w:jc w:val="left"/>
      </w:pPr>
      <w:r>
        <w:rPr>
          <w:rFonts w:ascii="楷体" w:hAnsi="楷体" w:eastAsia="楷体" w:cs="楷体"/>
          <w:color w:val="auto"/>
        </w:rPr>
        <w:t>文学消费活动的游戏化实际上是历史趋势。游戏与艺术、文学的游戏性与社会性早期处于交融状态，此后开始分离，或强调文以载道，或走向感官游戏。书面文化制约了交互的游戏性，不过也有一些文学实验试图突出读者的主动性，尤其是后现代文学让阅读走向游戏化。在理论上，读者反应批评、接受美学、阐释学、后结构主义、解构主义，都将游戏视为开放性文本的原型。数字技术兴起后，人们可以随意操作文本，文学消费进一步凸显了游戏性。</w:t>
      </w:r>
    </w:p>
    <w:p>
      <w:pPr>
        <w:keepNext w:val="0"/>
        <w:keepLines w:val="0"/>
        <w:pageBreakBefore w:val="0"/>
        <w:widowControl w:val="0"/>
        <w:kinsoku/>
        <w:wordWrap/>
        <w:overflowPunct/>
        <w:topLinePunct w:val="0"/>
        <w:autoSpaceDE/>
        <w:autoSpaceDN/>
        <w:bidi w:val="0"/>
        <w:adjustRightInd/>
        <w:snapToGrid/>
        <w:spacing w:line="240" w:lineRule="auto"/>
        <w:ind w:firstLine="420"/>
        <w:jc w:val="left"/>
      </w:pPr>
      <w:r>
        <w:rPr>
          <w:rFonts w:ascii="楷体" w:hAnsi="楷体" w:eastAsia="楷体" w:cs="楷体"/>
          <w:color w:val="auto"/>
        </w:rPr>
        <w:t>数字时代文学消费的游戏性不只在于读者与文本的关系，还在于主体之间的群体交往。网络阅读与传统阅读的不同在于，论坛环境可以随时交流，社交媒体强化了这种倾向，人们边看故事边讨论，实现了“沉浸”与“交互”两者转换的自由。“文本作为游戏”概括的是后结构主义文本理论及实践，如果说作为“世界”的文本主要是大众化文本，作为“游戏”的文本则是精英化的超文本、视觉诗歌、后现代小说等。然而数字时代并不只是后现代小说、超文本的精英文学，也可能是中国网络文学、日本轻小说这种流行文艺，后者具有二元性：一方面不是精英文学，而是大众化文本；另一方面又非传统“沉浸”式欣赏，而是因社交而不断打破沉浸，具有游戏性。</w:t>
      </w:r>
    </w:p>
    <w:p>
      <w:pPr>
        <w:keepNext w:val="0"/>
        <w:keepLines w:val="0"/>
        <w:pageBreakBefore w:val="0"/>
        <w:widowControl w:val="0"/>
        <w:kinsoku/>
        <w:wordWrap/>
        <w:overflowPunct/>
        <w:topLinePunct w:val="0"/>
        <w:autoSpaceDE/>
        <w:autoSpaceDN/>
        <w:bidi w:val="0"/>
        <w:adjustRightInd/>
        <w:snapToGrid/>
        <w:spacing w:line="240" w:lineRule="auto"/>
        <w:ind w:firstLine="420"/>
        <w:jc w:val="left"/>
      </w:pPr>
      <w:r>
        <w:rPr>
          <w:rFonts w:ascii="楷体" w:hAnsi="楷体" w:eastAsia="楷体" w:cs="楷体"/>
          <w:color w:val="auto"/>
        </w:rPr>
        <w:t>值得注意的是，中国传统文论也有“以文为戏”的说法，并提供了西方理论之外的思考路径。“以文为戏”的说法源自中唐，韩愈在《毛颖传》中为毛笔写传记，裴度批评了这种游戏写作：“不以文立制，而以文为戏。”经后世学者阐发，“以文为戏”渐成中国文论重要概念。“以文为戏”就是以游戏态度对待阅读与写作。韩愈以史传笔法为毛笔立传，充满戏拟与反讽，读者也心领神会，视其为游戏之作，而韩愈的文人身份与案头化写作，也让“以文为戏”类似于精英化的文本嬉戏。</w:t>
      </w:r>
    </w:p>
    <w:p>
      <w:pPr>
        <w:keepNext w:val="0"/>
        <w:keepLines w:val="0"/>
        <w:pageBreakBefore w:val="0"/>
        <w:widowControl w:val="0"/>
        <w:kinsoku/>
        <w:wordWrap/>
        <w:overflowPunct/>
        <w:topLinePunct w:val="0"/>
        <w:autoSpaceDE/>
        <w:autoSpaceDN/>
        <w:bidi w:val="0"/>
        <w:adjustRightInd/>
        <w:snapToGrid/>
        <w:spacing w:line="240" w:lineRule="auto"/>
        <w:ind w:firstLine="420"/>
        <w:jc w:val="left"/>
      </w:pPr>
      <w:r>
        <w:rPr>
          <w:rFonts w:ascii="楷体" w:hAnsi="楷体" w:eastAsia="楷体" w:cs="楷体"/>
          <w:color w:val="auto"/>
        </w:rPr>
        <w:t>不过，“以文为戏”还指涉其它情况，被古人用来形容传统文学“跨进跨出”的艺术特征。在《水浒传》第三十回，武松杀了一个丫鬟，另一个见状欲走，却“惊得呆了”。叙述者此时插话：“休道是两个丫鬟，便是说话的见了，也惊得口里半舌不展！”金圣叹评点道：“忽然跳出话外，真是以文为戏。”叙述者的评论打破了沉浸，具有游戏性。脂砚斋在评点《红楼梦》中的“跳出话外”时，同样认为这是文学的游戏化：“又忽作此数语，以幻弄成真，以真弄成幻，真真假假，恣意游戏于笔墨之中。”“跨进跨出”是中国艺术较为突出的特点。中国小说时常有干预叙述，人物视角与说话人视角呈现流动性。这种跨层在中国戏剧、曲艺表演中也相当常见，戏谚“一人多角，跳进跳出”，指的就是这种特点。</w:t>
      </w:r>
    </w:p>
    <w:p>
      <w:pPr>
        <w:keepNext w:val="0"/>
        <w:keepLines w:val="0"/>
        <w:pageBreakBefore w:val="0"/>
        <w:widowControl w:val="0"/>
        <w:kinsoku/>
        <w:wordWrap/>
        <w:overflowPunct/>
        <w:topLinePunct w:val="0"/>
        <w:autoSpaceDE/>
        <w:autoSpaceDN/>
        <w:bidi w:val="0"/>
        <w:adjustRightInd/>
        <w:snapToGrid/>
        <w:spacing w:line="240" w:lineRule="auto"/>
        <w:ind w:firstLine="420"/>
        <w:jc w:val="left"/>
      </w:pPr>
      <w:r>
        <w:rPr>
          <w:rFonts w:ascii="楷体" w:hAnsi="楷体" w:eastAsia="楷体" w:cs="楷体"/>
          <w:color w:val="auto"/>
        </w:rPr>
        <w:t>中国文学“跨进跨出”的叙述程式，与说唱艺术初始对小说、戏曲的影响有关，这与当下数字媒介重建口头文化经验具有相通性，契合了数字时代社交性、群体性的游戏化消费活动。</w:t>
      </w:r>
    </w:p>
    <w:p>
      <w:pPr>
        <w:keepNext w:val="0"/>
        <w:keepLines w:val="0"/>
        <w:pageBreakBefore w:val="0"/>
        <w:widowControl w:val="0"/>
        <w:kinsoku/>
        <w:wordWrap/>
        <w:overflowPunct/>
        <w:topLinePunct w:val="0"/>
        <w:autoSpaceDE/>
        <w:autoSpaceDN/>
        <w:bidi w:val="0"/>
        <w:adjustRightInd/>
        <w:snapToGrid/>
        <w:spacing w:line="240" w:lineRule="auto"/>
        <w:jc w:val="right"/>
      </w:pPr>
      <w:r>
        <w:rPr>
          <w:rFonts w:ascii="楷体" w:hAnsi="楷体" w:eastAsia="楷体" w:cs="楷体"/>
          <w:color w:val="auto"/>
        </w:rPr>
        <w:t>（选自黎杨全《“文本作为游戏”：文学的阅读动机与活动机制》，有删改）</w:t>
      </w:r>
    </w:p>
    <w:p>
      <w:pPr>
        <w:keepNext w:val="0"/>
        <w:keepLines w:val="0"/>
        <w:pageBreakBefore w:val="0"/>
        <w:widowControl w:val="0"/>
        <w:kinsoku/>
        <w:wordWrap/>
        <w:overflowPunct/>
        <w:topLinePunct w:val="0"/>
        <w:autoSpaceDE/>
        <w:autoSpaceDN/>
        <w:bidi w:val="0"/>
        <w:adjustRightInd/>
        <w:snapToGrid/>
        <w:spacing w:line="240" w:lineRule="auto"/>
        <w:jc w:val="left"/>
      </w:pPr>
      <w:r>
        <w:rPr>
          <w:color w:val="auto"/>
        </w:rPr>
        <w:t xml:space="preserve">1. </w:t>
      </w:r>
      <w:r>
        <w:rPr>
          <w:rFonts w:ascii="宋体" w:hAnsi="宋体" w:eastAsia="宋体" w:cs="宋体"/>
          <w:color w:val="auto"/>
        </w:rPr>
        <w:t>下列对原文相关内容的理解和分析，正确的一项是（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auto"/>
        </w:rPr>
      </w:pPr>
      <w:r>
        <w:t xml:space="preserve">A. </w:t>
      </w:r>
      <w:r>
        <w:rPr>
          <w:rFonts w:ascii="宋体" w:hAnsi="宋体" w:eastAsia="宋体" w:cs="宋体"/>
          <w:color w:val="auto"/>
        </w:rPr>
        <w:t>数字技术兴起后，人们可以随意操作文本，文学的消费活动很大程度上成了一种基于玩乐心理的游戏。</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auto"/>
        </w:rPr>
      </w:pPr>
      <w:r>
        <w:t xml:space="preserve">B. </w:t>
      </w:r>
      <w:r>
        <w:rPr>
          <w:rFonts w:ascii="宋体" w:hAnsi="宋体" w:eastAsia="宋体" w:cs="宋体"/>
          <w:color w:val="auto"/>
        </w:rPr>
        <w:t>斯蒂芬森受行为主义心理学影响，忽视个体差异与精神复杂性，从而将信息刺激与受众反应之间看成线性关系。</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auto"/>
        </w:rPr>
      </w:pPr>
      <w:r>
        <w:t xml:space="preserve">C. </w:t>
      </w:r>
      <w:r>
        <w:rPr>
          <w:rFonts w:ascii="宋体" w:hAnsi="宋体" w:eastAsia="宋体" w:cs="宋体"/>
          <w:color w:val="auto"/>
        </w:rPr>
        <w:t>游戏与艺术早期处于交融状态，此后开始分离，而后在接受美学等理论影响下形成文学消费游戏化的原型。</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color w:val="auto"/>
        </w:rPr>
      </w:pPr>
      <w:r>
        <w:t xml:space="preserve">D. </w:t>
      </w:r>
      <w:r>
        <w:rPr>
          <w:rFonts w:ascii="宋体" w:hAnsi="宋体" w:eastAsia="宋体" w:cs="宋体"/>
          <w:color w:val="auto"/>
        </w:rPr>
        <w:t>传统文学艺术中的“跨进跨出”是指干预叙事，人物视角与说话人视角呈现流动性，主要出现在小说体裁中。</w:t>
      </w:r>
    </w:p>
    <w:p>
      <w:pPr>
        <w:keepNext w:val="0"/>
        <w:keepLines w:val="0"/>
        <w:pageBreakBefore w:val="0"/>
        <w:widowControl w:val="0"/>
        <w:kinsoku/>
        <w:wordWrap/>
        <w:overflowPunct/>
        <w:topLinePunct w:val="0"/>
        <w:autoSpaceDE/>
        <w:autoSpaceDN/>
        <w:bidi w:val="0"/>
        <w:adjustRightInd/>
        <w:snapToGrid/>
        <w:spacing w:line="240" w:lineRule="auto"/>
        <w:jc w:val="left"/>
      </w:pPr>
      <w:r>
        <w:rPr>
          <w:color w:val="auto"/>
        </w:rPr>
        <w:t xml:space="preserve">2. </w:t>
      </w:r>
      <w:r>
        <w:rPr>
          <w:rFonts w:ascii="宋体" w:hAnsi="宋体" w:eastAsia="宋体" w:cs="宋体"/>
          <w:color w:val="auto"/>
        </w:rPr>
        <w:t>根据原文内容，下列说法正确的一项是（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auto"/>
        </w:rPr>
      </w:pPr>
      <w:r>
        <w:t xml:space="preserve">A. </w:t>
      </w:r>
      <w:r>
        <w:rPr>
          <w:rFonts w:ascii="宋体" w:hAnsi="宋体" w:eastAsia="宋体" w:cs="宋体"/>
          <w:color w:val="auto"/>
        </w:rPr>
        <w:t>数字化时代网络阅读环境可以随时交流，这使得文学消费逐渐游戏化，所以在前数字化时代书面文学不具备游戏化特征。</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auto"/>
        </w:rPr>
      </w:pPr>
      <w:r>
        <w:t xml:space="preserve">B. </w:t>
      </w:r>
      <w:r>
        <w:rPr>
          <w:rFonts w:ascii="宋体" w:hAnsi="宋体" w:eastAsia="宋体" w:cs="宋体"/>
          <w:color w:val="auto"/>
        </w:rPr>
        <w:t>书面文化制约了交互的游戏性，但数字技术兴起后，人们可以随意操作文本，“以文为戏”不再有制约性。</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auto"/>
        </w:rPr>
      </w:pPr>
      <w:r>
        <w:t xml:space="preserve">C. </w:t>
      </w:r>
      <w:r>
        <w:rPr>
          <w:rFonts w:ascii="宋体" w:hAnsi="宋体" w:eastAsia="宋体" w:cs="宋体"/>
          <w:color w:val="auto"/>
        </w:rPr>
        <w:t>韩愈的《毛颖传》以史传笔法为毛笔立传，充满戏拟与反讽，所以“以文为戏”是一种针对精英文学的文本嬉戏。</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color w:val="auto"/>
        </w:rPr>
      </w:pPr>
      <w:r>
        <w:t xml:space="preserve">D. </w:t>
      </w:r>
      <w:r>
        <w:rPr>
          <w:rFonts w:ascii="宋体" w:hAnsi="宋体" w:eastAsia="宋体" w:cs="宋体"/>
          <w:color w:val="auto"/>
        </w:rPr>
        <w:t>中国文学“跨进跨出”的叙述特点，受到说唱艺术的影响，对当下数字媒介重建口头文化可能具有一定的借鉴性。</w:t>
      </w:r>
    </w:p>
    <w:p>
      <w:pPr>
        <w:keepNext w:val="0"/>
        <w:keepLines w:val="0"/>
        <w:pageBreakBefore w:val="0"/>
        <w:widowControl w:val="0"/>
        <w:kinsoku/>
        <w:wordWrap/>
        <w:overflowPunct/>
        <w:topLinePunct w:val="0"/>
        <w:autoSpaceDE/>
        <w:autoSpaceDN/>
        <w:bidi w:val="0"/>
        <w:adjustRightInd/>
        <w:snapToGrid/>
        <w:spacing w:line="240" w:lineRule="auto"/>
        <w:jc w:val="left"/>
      </w:pPr>
      <w:r>
        <w:rPr>
          <w:color w:val="auto"/>
        </w:rPr>
        <w:t xml:space="preserve">3. </w:t>
      </w:r>
      <w:r>
        <w:rPr>
          <w:rFonts w:ascii="宋体" w:hAnsi="宋体" w:eastAsia="宋体" w:cs="宋体"/>
          <w:color w:val="auto"/>
        </w:rPr>
        <w:t>在视频网站上，以下视频标题最能体现“数字时代文学消费的游戏性”的一项是（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auto"/>
        </w:rPr>
      </w:pPr>
      <w:r>
        <w:t xml:space="preserve">A. </w:t>
      </w:r>
      <w:r>
        <w:rPr>
          <w:rFonts w:ascii="宋体" w:hAnsi="宋体" w:eastAsia="宋体" w:cs="宋体"/>
          <w:color w:val="auto"/>
        </w:rPr>
        <w:t>《××教授〈西游记〉人物形象解读》</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auto"/>
        </w:rPr>
      </w:pPr>
      <w:r>
        <w:t xml:space="preserve">B. </w:t>
      </w:r>
      <w:r>
        <w:rPr>
          <w:rFonts w:ascii="宋体" w:hAnsi="宋体" w:eastAsia="宋体" w:cs="宋体"/>
          <w:color w:val="auto"/>
        </w:rPr>
        <w:t>《××大学公开课：〈西游记〉孙悟空的性格内涵》</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auto"/>
        </w:rPr>
      </w:pPr>
      <w:r>
        <w:t xml:space="preserve">C. </w:t>
      </w:r>
      <w:r>
        <w:rPr>
          <w:rFonts w:ascii="宋体" w:hAnsi="宋体" w:eastAsia="宋体" w:cs="宋体"/>
          <w:color w:val="auto"/>
        </w:rPr>
        <w:t>《西游局中局——与你一起揭秘红孩儿身世》</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color w:val="auto"/>
        </w:rPr>
      </w:pPr>
      <w:r>
        <w:t xml:space="preserve">D. </w:t>
      </w:r>
      <w:r>
        <w:rPr>
          <w:rFonts w:ascii="宋体" w:hAnsi="宋体" w:eastAsia="宋体" w:cs="宋体"/>
          <w:color w:val="auto"/>
        </w:rPr>
        <w:t>《细说从头——溯源〈西游记〉故事的原型》</w:t>
      </w:r>
    </w:p>
    <w:p>
      <w:pPr>
        <w:keepNext w:val="0"/>
        <w:keepLines w:val="0"/>
        <w:pageBreakBefore w:val="0"/>
        <w:widowControl w:val="0"/>
        <w:kinsoku/>
        <w:wordWrap/>
        <w:overflowPunct/>
        <w:topLinePunct w:val="0"/>
        <w:autoSpaceDE/>
        <w:autoSpaceDN/>
        <w:bidi w:val="0"/>
        <w:adjustRightInd/>
        <w:snapToGrid/>
        <w:spacing w:line="240" w:lineRule="auto"/>
        <w:jc w:val="left"/>
        <w:rPr>
          <w:rFonts w:ascii="宋体" w:hAnsi="宋体" w:eastAsia="宋体" w:cs="宋体"/>
          <w:color w:val="auto"/>
        </w:rPr>
      </w:pPr>
      <w:r>
        <w:rPr>
          <w:color w:val="auto"/>
        </w:rPr>
        <w:t xml:space="preserve">4. </w:t>
      </w:r>
      <w:r>
        <w:rPr>
          <w:rFonts w:ascii="宋体" w:hAnsi="宋体" w:eastAsia="宋体" w:cs="宋体"/>
          <w:color w:val="auto"/>
        </w:rPr>
        <w:t>结合文本简述中国传统理论中的“以文为戏”和“数字时代文学消费活动的游戏性”的区别。</w:t>
      </w:r>
    </w:p>
    <w:p>
      <w:pPr>
        <w:keepNext w:val="0"/>
        <w:keepLines w:val="0"/>
        <w:pageBreakBefore w:val="0"/>
        <w:widowControl w:val="0"/>
        <w:kinsoku/>
        <w:wordWrap/>
        <w:overflowPunct/>
        <w:topLinePunct w:val="0"/>
        <w:autoSpaceDE/>
        <w:autoSpaceDN/>
        <w:bidi w:val="0"/>
        <w:adjustRightInd/>
        <w:snapToGrid/>
        <w:spacing w:line="240" w:lineRule="auto"/>
        <w:jc w:val="left"/>
        <w:rPr>
          <w:color w:val="auto"/>
        </w:rPr>
      </w:pPr>
    </w:p>
    <w:p>
      <w:pPr>
        <w:keepNext w:val="0"/>
        <w:keepLines w:val="0"/>
        <w:pageBreakBefore w:val="0"/>
        <w:widowControl w:val="0"/>
        <w:kinsoku/>
        <w:wordWrap/>
        <w:overflowPunct/>
        <w:topLinePunct w:val="0"/>
        <w:autoSpaceDE/>
        <w:autoSpaceDN/>
        <w:bidi w:val="0"/>
        <w:adjustRightInd/>
        <w:snapToGrid/>
        <w:spacing w:line="240" w:lineRule="auto"/>
        <w:jc w:val="left"/>
        <w:rPr>
          <w:color w:val="auto"/>
        </w:rPr>
      </w:pPr>
    </w:p>
    <w:p>
      <w:pPr>
        <w:keepNext w:val="0"/>
        <w:keepLines w:val="0"/>
        <w:pageBreakBefore w:val="0"/>
        <w:widowControl w:val="0"/>
        <w:kinsoku/>
        <w:wordWrap/>
        <w:overflowPunct/>
        <w:topLinePunct w:val="0"/>
        <w:autoSpaceDE/>
        <w:autoSpaceDN/>
        <w:bidi w:val="0"/>
        <w:adjustRightInd/>
        <w:snapToGrid/>
        <w:spacing w:line="240" w:lineRule="auto"/>
        <w:jc w:val="left"/>
        <w:rPr>
          <w:color w:val="auto"/>
        </w:rPr>
      </w:pPr>
    </w:p>
    <w:p>
      <w:pPr>
        <w:keepNext w:val="0"/>
        <w:keepLines w:val="0"/>
        <w:pageBreakBefore w:val="0"/>
        <w:widowControl w:val="0"/>
        <w:kinsoku/>
        <w:wordWrap/>
        <w:overflowPunct/>
        <w:topLinePunct w:val="0"/>
        <w:autoSpaceDE/>
        <w:autoSpaceDN/>
        <w:bidi w:val="0"/>
        <w:adjustRightInd/>
        <w:snapToGrid/>
        <w:spacing w:line="240" w:lineRule="auto"/>
        <w:jc w:val="left"/>
        <w:rPr>
          <w:color w:val="auto"/>
        </w:rPr>
      </w:pPr>
    </w:p>
    <w:p>
      <w:pPr>
        <w:keepNext w:val="0"/>
        <w:keepLines w:val="0"/>
        <w:pageBreakBefore w:val="0"/>
        <w:widowControl w:val="0"/>
        <w:kinsoku/>
        <w:wordWrap/>
        <w:overflowPunct/>
        <w:topLinePunct w:val="0"/>
        <w:autoSpaceDE/>
        <w:autoSpaceDN/>
        <w:bidi w:val="0"/>
        <w:adjustRightInd/>
        <w:snapToGrid/>
        <w:spacing w:line="240" w:lineRule="auto"/>
        <w:jc w:val="left"/>
        <w:rPr>
          <w:color w:val="auto"/>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left"/>
        <w:rPr>
          <w:color w:val="auto"/>
        </w:rPr>
      </w:pPr>
    </w:p>
    <w:p>
      <w:pPr>
        <w:keepNext w:val="0"/>
        <w:keepLines w:val="0"/>
        <w:pageBreakBefore w:val="0"/>
        <w:widowControl w:val="0"/>
        <w:kinsoku/>
        <w:wordWrap/>
        <w:overflowPunct/>
        <w:topLinePunct w:val="0"/>
        <w:autoSpaceDE/>
        <w:autoSpaceDN/>
        <w:bidi w:val="0"/>
        <w:adjustRightInd/>
        <w:snapToGrid/>
        <w:spacing w:line="240" w:lineRule="auto"/>
        <w:jc w:val="left"/>
        <w:rPr>
          <w:color w:val="auto"/>
        </w:rPr>
      </w:pPr>
    </w:p>
    <w:p>
      <w:pPr>
        <w:keepNext w:val="0"/>
        <w:keepLines w:val="0"/>
        <w:pageBreakBefore w:val="0"/>
        <w:widowControl w:val="0"/>
        <w:kinsoku/>
        <w:wordWrap/>
        <w:overflowPunct/>
        <w:topLinePunct w:val="0"/>
        <w:autoSpaceDE/>
        <w:autoSpaceDN/>
        <w:bidi w:val="0"/>
        <w:adjustRightInd/>
        <w:snapToGrid/>
        <w:spacing w:line="240" w:lineRule="auto"/>
        <w:jc w:val="left"/>
      </w:pPr>
      <w:r>
        <w:rPr>
          <w:color w:val="auto"/>
        </w:rPr>
        <w:t xml:space="preserve">5. </w:t>
      </w:r>
      <w:r>
        <w:rPr>
          <w:rFonts w:ascii="宋体" w:hAnsi="宋体" w:eastAsia="宋体" w:cs="宋体"/>
          <w:color w:val="auto"/>
        </w:rPr>
        <w:t>根据文本内容，阐释下列材料中文学消费游戏化的现象。</w:t>
      </w:r>
    </w:p>
    <w:p>
      <w:pPr>
        <w:keepNext w:val="0"/>
        <w:keepLines w:val="0"/>
        <w:pageBreakBefore w:val="0"/>
        <w:widowControl w:val="0"/>
        <w:kinsoku/>
        <w:wordWrap/>
        <w:overflowPunct/>
        <w:topLinePunct w:val="0"/>
        <w:autoSpaceDE/>
        <w:autoSpaceDN/>
        <w:bidi w:val="0"/>
        <w:adjustRightInd/>
        <w:snapToGrid/>
        <w:spacing w:line="240" w:lineRule="auto"/>
        <w:ind w:firstLine="420"/>
        <w:jc w:val="left"/>
        <w:rPr>
          <w:rFonts w:ascii="楷体" w:hAnsi="楷体" w:eastAsia="楷体" w:cs="楷体"/>
          <w:color w:val="auto"/>
        </w:rPr>
      </w:pPr>
      <w:r>
        <w:rPr>
          <w:rFonts w:ascii="楷体" w:hAnsi="楷体" w:eastAsia="楷体" w:cs="楷体"/>
          <w:color w:val="auto"/>
        </w:rPr>
        <w:t>日前，在某地招聘会上，有企业把招聘服务员、洗菜工的广告带进了大学校园，让众多大学生为之感慨唏嘘。有网友吐槽：“学历不但是敲门砖，也是下不来的高台，更是孔乙己脱不下的长衫。”这引发了众多网友的共鸣，网络上出现了各种跟贴和评论，有说“少年不识孔乙己，读懂已是书中人”，有说“如果当时的孔乙己脱下长衫，或许他只能当村里的闰土”……一时间，“孔乙己文学”成为网络热潮，无数的年轻人借此来表达高学历却找不到心仪工作的困顿苦闷。</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b/>
          <w:color w:val="000000"/>
          <w:sz w:val="24"/>
        </w:rPr>
        <w:t>二、文言文阅读（本题共5小题，20分）</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宋体" w:hAnsi="宋体" w:eastAsia="宋体" w:cs="宋体"/>
          <w:color w:val="000000"/>
        </w:rPr>
        <w:t>阅读下面的文言文，完成下面小题。</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材料一：</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（吴王）寿梦病将卒。有子四人：长曰诸樊，次曰余祭，次曰余昧，次曰季札。季札贤，寿梦欲立之，季札让，曰：“礼有旧制，奈何废前王之礼，而行父子之私乎？”</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寿梦乃命诸樊曰：“我欲传国及札，尔无忘寡人之言。”诸樊曰：“周之太王知西伯之圣，废长立少，王之道兴。</w:t>
      </w:r>
      <w:r>
        <w:rPr>
          <w:rFonts w:ascii="Cambria Math" w:hAnsi="Cambria Math" w:eastAsia="Cambria Math" w:cs="Cambria Math"/>
          <w:color w:val="000000"/>
          <w:vertAlign w:val="superscript"/>
        </w:rPr>
        <w:t>①</w:t>
      </w:r>
      <w:r>
        <w:rPr>
          <w:rFonts w:ascii="楷体" w:hAnsi="楷体" w:eastAsia="楷体" w:cs="楷体"/>
          <w:color w:val="000000"/>
        </w:rPr>
        <w:t>今欲授国于札，臣诚耕于野。”王曰：“昔周行之德加于四海，</w:t>
      </w:r>
      <w:r>
        <w:rPr>
          <w:rFonts w:ascii="楷体" w:hAnsi="楷体" w:eastAsia="楷体" w:cs="楷体"/>
          <w:color w:val="000000"/>
          <w:u w:val="wave"/>
        </w:rPr>
        <w:t>今汝于区区之国荆蛮之乡奚能成天子之业乎且今子不忘前人之言必授国以次及于季札。</w:t>
      </w:r>
      <w:r>
        <w:rPr>
          <w:rFonts w:ascii="楷体" w:hAnsi="楷体" w:eastAsia="楷体" w:cs="楷体"/>
          <w:color w:val="000000"/>
        </w:rPr>
        <w:t>”诸樊曰：“</w:t>
      </w:r>
      <w:r>
        <w:rPr>
          <w:rFonts w:ascii="楷体" w:hAnsi="楷体" w:eastAsia="楷体" w:cs="楷体"/>
          <w:color w:val="000000"/>
          <w:em w:val="dot"/>
        </w:rPr>
        <w:t>敢</w:t>
      </w:r>
      <w:r>
        <w:rPr>
          <w:rFonts w:ascii="楷体" w:hAnsi="楷体" w:eastAsia="楷体" w:cs="楷体"/>
          <w:color w:val="000000"/>
        </w:rPr>
        <w:t>不如命？”</w:t>
      </w:r>
      <w:r>
        <w:rPr>
          <w:rFonts w:ascii="楷体" w:hAnsi="楷体" w:eastAsia="楷体" w:cs="楷体"/>
          <w:color w:val="000000"/>
          <w:u w:val="single"/>
        </w:rPr>
        <w:t>寿梦卒，诸樊以嫡长摄行事，当国政。</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吴王诸樊元年，已除丧，让季札，曰：“昔前王未薨之时，尝晨昧不安，吾望其色也，意在于季札。又复三朝悲吟而命我曰：‘吾知公子札之贤，欲废长立少。’</w:t>
      </w:r>
      <w:r>
        <w:rPr>
          <w:rFonts w:ascii="楷体" w:hAnsi="楷体" w:eastAsia="楷体" w:cs="楷体"/>
          <w:color w:val="000000"/>
          <w:em w:val="dot"/>
        </w:rPr>
        <w:t>重</w:t>
      </w:r>
      <w:r>
        <w:rPr>
          <w:rFonts w:ascii="楷体" w:hAnsi="楷体" w:eastAsia="楷体" w:cs="楷体"/>
          <w:color w:val="000000"/>
        </w:rPr>
        <w:t>发言于口。虽然，我心已许之，然前王不忍行其私计，以国付我，我敢不从命乎？今国者，子之国也，吾愿达前王之义。”</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季札谢曰：“夫嫡长当国，非前王之私，乃宗庙社稷之制，岂可变乎？”</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诸樊曰：“苟可施于国，何先王之命有！太王改为季历，二伯来入荆蛮，遂</w:t>
      </w:r>
      <w:r>
        <w:rPr>
          <w:rFonts w:ascii="楷体" w:hAnsi="楷体" w:eastAsia="楷体" w:cs="楷体"/>
          <w:color w:val="000000"/>
          <w:em w:val="dot"/>
        </w:rPr>
        <w:t>城</w:t>
      </w:r>
      <w:r>
        <w:rPr>
          <w:rFonts w:ascii="楷体" w:hAnsi="楷体" w:eastAsia="楷体" w:cs="楷体"/>
          <w:color w:val="000000"/>
        </w:rPr>
        <w:t>为国。</w:t>
      </w:r>
      <w:r>
        <w:rPr>
          <w:rFonts w:ascii="楷体" w:hAnsi="楷体" w:eastAsia="楷体" w:cs="楷体"/>
          <w:color w:val="000000"/>
          <w:u w:val="single"/>
        </w:rPr>
        <w:t>周道就成，前人诵之，不绝于口，而子之所习也。”</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札复谢曰：“昔曹公卒，庶存嫡亡，诸侯与曹人不义而立于国。子臧闻之，行吟而归。曹君惧，将立子臧，子臧去之，以成曹之道。札虽不才，愿附子臧之义。吾诚避之。”</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吴人固立季札，季札不受而耕于野，吴人</w:t>
      </w:r>
      <w:r>
        <w:rPr>
          <w:rFonts w:ascii="楷体" w:hAnsi="楷体" w:eastAsia="楷体" w:cs="楷体"/>
          <w:color w:val="000000"/>
          <w:em w:val="dot"/>
        </w:rPr>
        <w:t>舍</w:t>
      </w:r>
      <w:r>
        <w:rPr>
          <w:rFonts w:ascii="楷体" w:hAnsi="楷体" w:eastAsia="楷体" w:cs="楷体"/>
          <w:color w:val="000000"/>
        </w:rPr>
        <w:t>之。诸樊骄恣，轻慢鬼神，仰天求死。将死，命弟余祭曰：“必以国及季札。”乃封季札于延陵，号曰延陵季子。</w:t>
      </w:r>
    </w:p>
    <w:p>
      <w:pPr>
        <w:keepNext w:val="0"/>
        <w:keepLines w:val="0"/>
        <w:pageBreakBefore w:val="0"/>
        <w:widowControl w:val="0"/>
        <w:kinsoku/>
        <w:wordWrap/>
        <w:overflowPunct/>
        <w:topLinePunct w:val="0"/>
        <w:autoSpaceDE/>
        <w:autoSpaceDN/>
        <w:bidi w:val="0"/>
        <w:adjustRightInd/>
        <w:snapToGrid/>
        <w:spacing w:line="240" w:lineRule="auto"/>
        <w:jc w:val="right"/>
        <w:textAlignment w:val="center"/>
        <w:rPr>
          <w:color w:val="000000"/>
        </w:rPr>
      </w:pPr>
      <w:r>
        <w:rPr>
          <w:rFonts w:ascii="楷体" w:hAnsi="楷体" w:eastAsia="楷体" w:cs="楷体"/>
          <w:color w:val="000000"/>
        </w:rPr>
        <w:t>（节选自《吴越春秋·吴王寿梦传》）</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材料二：</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吴子诸樊既除丧，将立季札。季札辞曰：“曹宣公之卒也，诸侯与曹人不义曹君，将立子臧。子臧去之，遂弗为也，以成曹君。君子曰：‘能守节。’君，义嗣也。谁敢奸君？有国，非吾节也。札虽不才，愿附于子臧，以无失节。”固立之。弃其室而耕。乃舍之。</w:t>
      </w:r>
    </w:p>
    <w:p>
      <w:pPr>
        <w:keepNext w:val="0"/>
        <w:keepLines w:val="0"/>
        <w:pageBreakBefore w:val="0"/>
        <w:widowControl w:val="0"/>
        <w:kinsoku/>
        <w:wordWrap/>
        <w:overflowPunct/>
        <w:topLinePunct w:val="0"/>
        <w:autoSpaceDE/>
        <w:autoSpaceDN/>
        <w:bidi w:val="0"/>
        <w:adjustRightInd/>
        <w:snapToGrid/>
        <w:spacing w:line="240" w:lineRule="auto"/>
        <w:jc w:val="right"/>
        <w:textAlignment w:val="center"/>
        <w:rPr>
          <w:color w:val="000000"/>
        </w:rPr>
      </w:pPr>
      <w:r>
        <w:rPr>
          <w:rFonts w:ascii="楷体" w:hAnsi="楷体" w:eastAsia="楷体" w:cs="楷体"/>
          <w:color w:val="000000"/>
        </w:rPr>
        <w:t>（节选自《左传·襄公十四年》）</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宋体" w:hAnsi="宋体" w:eastAsia="宋体" w:cs="宋体"/>
          <w:color w:val="000000"/>
        </w:rPr>
        <w:t>【注】①周太王古公亶父为了传位给孙子姬昌（西伯），将王位传给小儿子季历（姬昌之父），长子次子迁至楚地定居，季历去世后姬昌即位，周王朝治国之道得以兴盛。</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hint="eastAsia"/>
          <w:color w:val="000000"/>
          <w:lang w:val="en-US" w:eastAsia="zh-CN"/>
        </w:rPr>
        <w:t>6</w:t>
      </w:r>
      <w:r>
        <w:rPr>
          <w:color w:val="000000"/>
        </w:rPr>
        <w:t xml:space="preserve">. </w:t>
      </w:r>
      <w:r>
        <w:rPr>
          <w:rFonts w:ascii="宋体" w:hAnsi="宋体" w:eastAsia="宋体" w:cs="宋体"/>
          <w:color w:val="000000"/>
        </w:rPr>
        <w:t>材料一画波浪线的部分有三处需要断句，请用铅笔将答题卡上相应位置的答案标号涂黑，每涂对一处给1分，涂黑超过三处不给分。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color w:val="000000"/>
          <w:position w:val="-12"/>
        </w:rPr>
      </w:pPr>
      <w:r>
        <w:rPr>
          <w:rFonts w:ascii="宋体" w:hAnsi="宋体" w:eastAsia="宋体" w:cs="宋体"/>
          <w:color w:val="000000"/>
        </w:rPr>
        <w:t>今汝于区区之国</w:t>
      </w:r>
      <w:r>
        <w:rPr>
          <w:rFonts w:ascii="Times New Roman" w:hAnsi="Times New Roman" w:eastAsia="Times New Roman" w:cs="Times New Roman"/>
          <w:color w:val="000000"/>
        </w:rPr>
        <w:t>A</w:t>
      </w:r>
      <w:r>
        <w:rPr>
          <w:rFonts w:ascii="宋体" w:hAnsi="宋体" w:eastAsia="宋体" w:cs="宋体"/>
          <w:color w:val="000000"/>
        </w:rPr>
        <w:t>荆蛮之乡</w:t>
      </w:r>
      <w:r>
        <w:rPr>
          <w:rFonts w:ascii="Times New Roman" w:hAnsi="Times New Roman" w:eastAsia="Times New Roman" w:cs="Times New Roman"/>
          <w:color w:val="000000"/>
        </w:rPr>
        <w:t>B</w:t>
      </w:r>
      <w:r>
        <w:rPr>
          <w:rFonts w:ascii="宋体" w:hAnsi="宋体" w:eastAsia="宋体" w:cs="宋体"/>
          <w:color w:val="000000"/>
        </w:rPr>
        <w:t>奚能成天</w:t>
      </w:r>
      <w:r>
        <w:rPr>
          <w:rFonts w:ascii="Times New Roman" w:hAnsi="Times New Roman" w:eastAsia="Times New Roman" w:cs="Times New Roman"/>
          <w:color w:val="000000"/>
        </w:rPr>
        <w:t>C</w:t>
      </w:r>
      <w:r>
        <w:rPr>
          <w:rFonts w:ascii="宋体" w:hAnsi="宋体" w:eastAsia="宋体" w:cs="宋体"/>
          <w:color w:val="000000"/>
        </w:rPr>
        <w:t>子之业乎</w:t>
      </w:r>
      <w:r>
        <w:rPr>
          <w:rFonts w:ascii="Times New Roman" w:hAnsi="Times New Roman" w:eastAsia="Times New Roman" w:cs="Times New Roman"/>
          <w:color w:val="000000"/>
        </w:rPr>
        <w:t>D</w:t>
      </w:r>
      <w:r>
        <w:rPr>
          <w:rFonts w:ascii="宋体" w:hAnsi="宋体" w:eastAsia="宋体" w:cs="宋体"/>
          <w:color w:val="000000"/>
        </w:rPr>
        <w:t>且今</w:t>
      </w:r>
      <w:r>
        <w:rPr>
          <w:rFonts w:ascii="Times New Roman" w:hAnsi="Times New Roman" w:eastAsia="Times New Roman" w:cs="Times New Roman"/>
          <w:color w:val="000000"/>
        </w:rPr>
        <w:t>E</w:t>
      </w:r>
      <w:r>
        <w:rPr>
          <w:rFonts w:ascii="宋体" w:hAnsi="宋体" w:eastAsia="宋体" w:cs="宋体"/>
          <w:color w:val="000000"/>
        </w:rPr>
        <w:t>子不忘</w:t>
      </w:r>
      <w:r>
        <w:rPr>
          <w:rFonts w:ascii="Times New Roman" w:hAnsi="Times New Roman" w:eastAsia="Times New Roman" w:cs="Times New Roman"/>
          <w:color w:val="000000"/>
        </w:rPr>
        <w:t>F</w:t>
      </w:r>
      <w:r>
        <w:rPr>
          <w:rFonts w:ascii="宋体" w:hAnsi="宋体" w:eastAsia="宋体" w:cs="宋体"/>
          <w:color w:val="000000"/>
        </w:rPr>
        <w:t>前人之言</w:t>
      </w:r>
      <w:r>
        <w:rPr>
          <w:rFonts w:ascii="Times New Roman" w:hAnsi="Times New Roman" w:eastAsia="Times New Roman" w:cs="Times New Roman"/>
          <w:color w:val="000000"/>
        </w:rPr>
        <w:t>G</w:t>
      </w:r>
      <w:r>
        <w:rPr>
          <w:rFonts w:ascii="宋体" w:hAnsi="宋体" w:eastAsia="宋体" w:cs="宋体"/>
          <w:color w:val="000000"/>
        </w:rPr>
        <w:t>必授国</w:t>
      </w:r>
      <w:r>
        <w:rPr>
          <w:rFonts w:ascii="Times New Roman" w:hAnsi="Times New Roman" w:eastAsia="Times New Roman" w:cs="Times New Roman"/>
          <w:color w:val="000000"/>
        </w:rPr>
        <w:t>H</w:t>
      </w:r>
      <w:r>
        <w:rPr>
          <w:rFonts w:ascii="宋体" w:hAnsi="宋体" w:eastAsia="宋体" w:cs="宋体"/>
          <w:color w:val="000000"/>
        </w:rPr>
        <w:t>以次及于季札</w:t>
      </w:r>
      <w:r>
        <w:rPr>
          <w:rFonts w:ascii="宋体" w:hAnsi="宋体" w:eastAsia="宋体" w:cs="宋体"/>
          <w:color w:val="000000"/>
          <w:position w:val="-12"/>
        </w:rPr>
        <w:drawing>
          <wp:inline distT="0" distB="0" distL="114300" distR="114300">
            <wp:extent cx="127000" cy="762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1"/>
                    <a:stretch>
                      <a:fillRect/>
                    </a:stretch>
                  </pic:blipFill>
                  <pic:spPr>
                    <a:xfrm>
                      <a:off x="0" y="0"/>
                      <a:ext cx="127000" cy="762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hint="eastAsia"/>
          <w:color w:val="000000"/>
          <w:lang w:val="en-US" w:eastAsia="zh-CN"/>
        </w:rPr>
        <w:t>7</w:t>
      </w:r>
      <w:r>
        <w:rPr>
          <w:color w:val="000000"/>
        </w:rPr>
        <w:t xml:space="preserve">. </w:t>
      </w:r>
      <w:r>
        <w:rPr>
          <w:rFonts w:ascii="宋体" w:hAnsi="宋体" w:eastAsia="宋体" w:cs="宋体"/>
          <w:color w:val="000000"/>
        </w:rPr>
        <w:t>下列对材料中加点的词语及相关内容的解说，不正确的一项是（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A. </w:t>
      </w:r>
      <w:r>
        <w:rPr>
          <w:rFonts w:ascii="宋体" w:hAnsi="宋体" w:eastAsia="宋体" w:cs="宋体"/>
          <w:color w:val="000000"/>
        </w:rPr>
        <w:t>敢，岂敢，用于反问，与“若亡郑而有益于君，敢以烦执事”中的“敢”词义不同。</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B. </w:t>
      </w:r>
      <w:r>
        <w:rPr>
          <w:rFonts w:ascii="宋体" w:hAnsi="宋体" w:eastAsia="宋体" w:cs="宋体"/>
          <w:color w:val="000000"/>
        </w:rPr>
        <w:t>重，慎重，谨慎，也表对某事感到为难，与成语“安土重迁”中的“重”词义相同。</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C. </w:t>
      </w:r>
      <w:r>
        <w:rPr>
          <w:rFonts w:ascii="宋体" w:hAnsi="宋体" w:eastAsia="宋体" w:cs="宋体"/>
          <w:color w:val="000000"/>
        </w:rPr>
        <w:t>城，在文中用为动词，指修筑城墙，与“然后践华为城”中的“城”词义用法不同。</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color w:val="000000"/>
        </w:rPr>
      </w:pPr>
      <w:r>
        <w:rPr>
          <w:color w:val="000000"/>
        </w:rPr>
        <w:t xml:space="preserve">D. </w:t>
      </w:r>
      <w:r>
        <w:rPr>
          <w:rFonts w:ascii="宋体" w:hAnsi="宋体" w:eastAsia="宋体" w:cs="宋体"/>
          <w:color w:val="000000"/>
        </w:rPr>
        <w:t>舍，在文中用为动词，指安置住宿，与“舍相如广成传舍”句首的“舍”用法相同。</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hint="eastAsia"/>
          <w:color w:val="000000"/>
          <w:lang w:val="en-US" w:eastAsia="zh-CN"/>
        </w:rPr>
        <w:t>8</w:t>
      </w:r>
      <w:r>
        <w:rPr>
          <w:color w:val="000000"/>
        </w:rPr>
        <w:t xml:space="preserve">. </w:t>
      </w:r>
      <w:r>
        <w:rPr>
          <w:rFonts w:ascii="宋体" w:hAnsi="宋体" w:eastAsia="宋体" w:cs="宋体"/>
          <w:color w:val="000000"/>
        </w:rPr>
        <w:t>下列对材料有关内容的概述，不正确的一项是（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A. </w:t>
      </w:r>
      <w:r>
        <w:rPr>
          <w:rFonts w:ascii="宋体" w:hAnsi="宋体" w:eastAsia="宋体" w:cs="宋体"/>
          <w:color w:val="000000"/>
        </w:rPr>
        <w:t>吴王寿梦欲废长立幼传位给贤明的幼子季札，即使被拒，依然把此愿托付给了诸樊。</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B. </w:t>
      </w:r>
      <w:r>
        <w:rPr>
          <w:rFonts w:ascii="宋体" w:hAnsi="宋体" w:eastAsia="宋体" w:cs="宋体"/>
          <w:color w:val="000000"/>
        </w:rPr>
        <w:t>季札谢绝寿梦传位的理由主要是不能让父子之间的私情超越了先王传下的礼法制度。</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C. </w:t>
      </w:r>
      <w:r>
        <w:rPr>
          <w:rFonts w:ascii="宋体" w:hAnsi="宋体" w:eastAsia="宋体" w:cs="宋体"/>
          <w:color w:val="000000"/>
        </w:rPr>
        <w:t>周太王废长立幼而王朝兴盛，诸樊借此以表示对父王的理解，也引此例以劝说季札。</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color w:val="000000"/>
        </w:rPr>
      </w:pPr>
      <w:r>
        <w:rPr>
          <w:color w:val="000000"/>
        </w:rPr>
        <w:t xml:space="preserve">D. </w:t>
      </w:r>
      <w:r>
        <w:rPr>
          <w:rFonts w:ascii="宋体" w:hAnsi="宋体" w:eastAsia="宋体" w:cs="宋体"/>
          <w:color w:val="000000"/>
        </w:rPr>
        <w:t>诸樊没能实现先王的遗愿，心怀憾恨而哀痛过度，临终之际依然令二弟传位给季札。</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hint="eastAsia"/>
          <w:color w:val="000000"/>
          <w:lang w:val="en-US" w:eastAsia="zh-CN"/>
        </w:rPr>
        <w:t>9</w:t>
      </w:r>
      <w:r>
        <w:rPr>
          <w:color w:val="000000"/>
        </w:rPr>
        <w:t xml:space="preserve">. </w:t>
      </w:r>
      <w:r>
        <w:rPr>
          <w:rFonts w:ascii="宋体" w:hAnsi="宋体" w:eastAsia="宋体" w:cs="宋体"/>
          <w:color w:val="000000"/>
        </w:rPr>
        <w:t>把材料中画横线的句子翻译成现代汉语。</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color w:val="000000"/>
        </w:rPr>
      </w:pPr>
      <w:r>
        <w:rPr>
          <w:rFonts w:ascii="宋体" w:hAnsi="宋体" w:eastAsia="宋体" w:cs="宋体"/>
          <w:color w:val="000000"/>
        </w:rPr>
        <w:t>（1）寿梦卒，诸樊以嫡长摄行事，当国政。</w:t>
      </w:r>
    </w:p>
    <w:p>
      <w:pPr>
        <w:keepNext w:val="0"/>
        <w:keepLines w:val="0"/>
        <w:pageBreakBefore w:val="0"/>
        <w:widowControl w:val="0"/>
        <w:numPr>
          <w:numId w:val="0"/>
        </w:numPr>
        <w:kinsoku/>
        <w:wordWrap/>
        <w:overflowPunct/>
        <w:topLinePunct w:val="0"/>
        <w:autoSpaceDE/>
        <w:autoSpaceDN/>
        <w:bidi w:val="0"/>
        <w:adjustRightInd/>
        <w:snapToGrid/>
        <w:spacing w:line="240" w:lineRule="auto"/>
        <w:jc w:val="left"/>
        <w:textAlignment w:val="center"/>
        <w:rPr>
          <w:rFonts w:ascii="宋体" w:hAnsi="宋体" w:eastAsia="宋体" w:cs="宋体"/>
          <w:color w:val="000000"/>
        </w:rPr>
      </w:pPr>
    </w:p>
    <w:p>
      <w:pPr>
        <w:keepNext w:val="0"/>
        <w:keepLines w:val="0"/>
        <w:pageBreakBefore w:val="0"/>
        <w:widowControl w:val="0"/>
        <w:numPr>
          <w:numId w:val="0"/>
        </w:numPr>
        <w:kinsoku/>
        <w:wordWrap/>
        <w:overflowPunct/>
        <w:topLinePunct w:val="0"/>
        <w:autoSpaceDE/>
        <w:autoSpaceDN/>
        <w:bidi w:val="0"/>
        <w:adjustRightInd/>
        <w:snapToGrid/>
        <w:spacing w:line="240" w:lineRule="auto"/>
        <w:jc w:val="left"/>
        <w:textAlignment w:val="center"/>
        <w:rPr>
          <w:rFonts w:ascii="宋体" w:hAnsi="宋体" w:eastAsia="宋体" w:cs="宋体"/>
          <w:color w:val="000000"/>
        </w:rPr>
      </w:pPr>
    </w:p>
    <w:p>
      <w:pPr>
        <w:keepNext w:val="0"/>
        <w:keepLines w:val="0"/>
        <w:pageBreakBefore w:val="0"/>
        <w:widowControl w:val="0"/>
        <w:numPr>
          <w:numId w:val="0"/>
        </w:numPr>
        <w:kinsoku/>
        <w:wordWrap/>
        <w:overflowPunct/>
        <w:topLinePunct w:val="0"/>
        <w:autoSpaceDE/>
        <w:autoSpaceDN/>
        <w:bidi w:val="0"/>
        <w:adjustRightInd/>
        <w:snapToGrid/>
        <w:spacing w:line="240" w:lineRule="auto"/>
        <w:jc w:val="left"/>
        <w:textAlignment w:val="center"/>
        <w:rPr>
          <w:rFonts w:ascii="宋体" w:hAnsi="宋体" w:eastAsia="宋体" w:cs="宋体"/>
          <w:color w:val="000000"/>
        </w:rPr>
      </w:pPr>
    </w:p>
    <w:p>
      <w:pPr>
        <w:keepNext w:val="0"/>
        <w:keepLines w:val="0"/>
        <w:pageBreakBefore w:val="0"/>
        <w:widowControl w:val="0"/>
        <w:numPr>
          <w:numId w:val="0"/>
        </w:numPr>
        <w:kinsoku/>
        <w:wordWrap/>
        <w:overflowPunct/>
        <w:topLinePunct w:val="0"/>
        <w:autoSpaceDE/>
        <w:autoSpaceDN/>
        <w:bidi w:val="0"/>
        <w:adjustRightInd/>
        <w:snapToGrid/>
        <w:spacing w:line="240" w:lineRule="auto"/>
        <w:jc w:val="left"/>
        <w:textAlignment w:val="center"/>
        <w:rPr>
          <w:rFonts w:ascii="宋体" w:hAnsi="宋体" w:eastAsia="宋体" w:cs="宋体"/>
          <w:color w:val="000000"/>
        </w:rPr>
      </w:pPr>
      <w:r>
        <w:rPr>
          <w:rFonts w:hint="eastAsia" w:ascii="宋体" w:hAnsi="宋体" w:cs="宋体"/>
          <w:color w:val="000000"/>
          <w:lang w:eastAsia="zh-CN"/>
        </w:rPr>
        <w:t>（</w:t>
      </w:r>
      <w:r>
        <w:rPr>
          <w:rFonts w:hint="eastAsia" w:ascii="宋体" w:hAnsi="宋体" w:cs="宋体"/>
          <w:color w:val="000000"/>
          <w:lang w:val="en-US" w:eastAsia="zh-CN"/>
        </w:rPr>
        <w:t>2</w:t>
      </w:r>
      <w:r>
        <w:rPr>
          <w:rFonts w:hint="eastAsia" w:ascii="宋体" w:hAnsi="宋体" w:cs="宋体"/>
          <w:color w:val="000000"/>
          <w:lang w:eastAsia="zh-CN"/>
        </w:rPr>
        <w:t>）</w:t>
      </w:r>
      <w:r>
        <w:rPr>
          <w:rFonts w:ascii="宋体" w:hAnsi="宋体" w:eastAsia="宋体" w:cs="宋体"/>
          <w:color w:val="000000"/>
        </w:rPr>
        <w:t>周道就成，前人诵之，不绝于口，而子之所习也。</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1</w:t>
      </w:r>
      <w:r>
        <w:rPr>
          <w:rFonts w:hint="eastAsia"/>
          <w:color w:val="000000"/>
          <w:lang w:val="en-US" w:eastAsia="zh-CN"/>
        </w:rPr>
        <w:t>0.</w:t>
      </w:r>
      <w:r>
        <w:rPr>
          <w:rFonts w:ascii="宋体" w:hAnsi="宋体" w:eastAsia="宋体" w:cs="宋体"/>
          <w:color w:val="000000"/>
        </w:rPr>
        <w:t>季札答复诸樊让位的言辞内容，《吴越春秋》与《左传》的记载各有什么不同？依据文本，简要概括。</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hint="eastAsia" w:ascii="宋体" w:hAnsi="宋体" w:cs="宋体"/>
          <w:b/>
          <w:color w:val="000000"/>
          <w:sz w:val="24"/>
          <w:lang w:eastAsia="zh-CN"/>
        </w:rPr>
        <w:t>三、</w:t>
      </w:r>
      <w:r>
        <w:rPr>
          <w:rFonts w:ascii="宋体" w:hAnsi="宋体" w:eastAsia="宋体" w:cs="宋体"/>
          <w:b/>
          <w:color w:val="000000"/>
          <w:sz w:val="24"/>
        </w:rPr>
        <w:t>语言文字运用（</w:t>
      </w:r>
      <w:r>
        <w:rPr>
          <w:rFonts w:hint="eastAsia" w:ascii="宋体" w:hAnsi="宋体" w:cs="宋体"/>
          <w:b/>
          <w:color w:val="000000"/>
          <w:sz w:val="24"/>
          <w:lang w:val="en-US" w:eastAsia="zh-CN"/>
        </w:rPr>
        <w:t>9</w:t>
      </w:r>
      <w:r>
        <w:rPr>
          <w:rFonts w:ascii="宋体" w:hAnsi="宋体" w:eastAsia="宋体" w:cs="宋体"/>
          <w:b/>
          <w:color w:val="000000"/>
          <w:sz w:val="24"/>
        </w:rPr>
        <w:t>分）</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宋体" w:hAnsi="宋体" w:eastAsia="宋体" w:cs="宋体"/>
          <w:color w:val="000000"/>
        </w:rPr>
        <w:t>阅读下面的文字，完成下面小题。</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街道的下面是复杂的管道，对其进行定期检查或修复，通常需要</w:t>
      </w:r>
      <w:r>
        <w:rPr>
          <w:rFonts w:ascii="楷体" w:hAnsi="楷体" w:eastAsia="楷体" w:cs="楷体"/>
          <w:color w:val="000000"/>
          <w:u w:val="single"/>
        </w:rPr>
        <w:t xml:space="preserve">          ①          </w:t>
      </w:r>
      <w:r>
        <w:rPr>
          <w:rFonts w:ascii="楷体" w:hAnsi="楷体" w:eastAsia="楷体" w:cs="楷体"/>
          <w:color w:val="000000"/>
        </w:rPr>
        <w:t>，但这种方法成本高昂，还可能扰乱交通，破坏环境。英国利兹大学教授内塔·科恩博士团队展示的一种名为“乔伊”的微型机器人，可自主探索真实的地下管网，</w:t>
      </w:r>
      <w:r>
        <w:rPr>
          <w:rFonts w:ascii="楷体" w:hAnsi="楷体" w:eastAsia="楷体" w:cs="楷体"/>
          <w:color w:val="000000"/>
          <w:u w:val="wave"/>
        </w:rPr>
        <w:t>甚至无需相机导航。</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乔伊借助3</w:t>
      </w:r>
      <w:r>
        <w:rPr>
          <w:rFonts w:ascii="Times New Roman" w:hAnsi="Times New Roman" w:eastAsia="Times New Roman" w:cs="Times New Roman"/>
          <w:color w:val="000000"/>
        </w:rPr>
        <w:t>D</w:t>
      </w:r>
      <w:r>
        <w:rPr>
          <w:rFonts w:ascii="楷体" w:hAnsi="楷体" w:eastAsia="楷体" w:cs="楷体"/>
          <w:color w:val="000000"/>
        </w:rPr>
        <w:t>打印的“轮腿”移动，这种轮腿，</w:t>
      </w:r>
      <w:r>
        <w:rPr>
          <w:rFonts w:ascii="楷体" w:hAnsi="楷体" w:eastAsia="楷体" w:cs="楷体"/>
          <w:color w:val="000000"/>
          <w:u w:val="single"/>
        </w:rPr>
        <w:t xml:space="preserve">            ②            </w:t>
      </w:r>
      <w:r>
        <w:rPr>
          <w:rFonts w:ascii="楷体" w:hAnsi="楷体" w:eastAsia="楷体" w:cs="楷体"/>
          <w:color w:val="000000"/>
        </w:rPr>
        <w:t>，也可在小障碍物上行走。它配备了一系列节能传感器，可测量它到墙壁、交叉口和角落的距离。传感器可让乔伊在不需要打开摄像头或使用耗电的计算机视觉的情况下导航。这既节省了能源，又延长了乔伊电池的寿命。</w:t>
      </w:r>
      <w:r>
        <w:rPr>
          <w:rFonts w:ascii="楷体" w:hAnsi="楷体" w:eastAsia="楷体" w:cs="楷体"/>
          <w:color w:val="000000"/>
          <w:u w:val="single"/>
        </w:rPr>
        <w:t xml:space="preserve">            ③             </w:t>
      </w:r>
      <w:r>
        <w:rPr>
          <w:rFonts w:ascii="楷体" w:hAnsi="楷体" w:eastAsia="楷体" w:cs="楷体"/>
          <w:color w:val="000000"/>
        </w:rPr>
        <w:t>，乔伊就会回到原点，“补充”能量。</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研究人员表示，其目标是开发一群可交流和合作的“乔伊们”，而且它们还将通过一个名为“袋鼠妈妈”的母亲机器人进行部署。袋鼠妈妈将配备更复杂的传感器和机械臂等修复工具，并携带多个乔伊。最终，该系统能够检查和绘制管网的状况图，</w:t>
      </w:r>
      <w:r>
        <w:rPr>
          <w:rFonts w:ascii="楷体" w:hAnsi="楷体" w:eastAsia="楷体" w:cs="楷体"/>
          <w:color w:val="000000"/>
          <w:u w:val="wave"/>
        </w:rPr>
        <w:t>监控管道甚至执行维护任务。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center"/>
        <w:rPr>
          <w:rFonts w:ascii="宋体" w:hAnsi="宋体" w:eastAsia="宋体" w:cs="宋体"/>
          <w:color w:val="000000"/>
        </w:rPr>
      </w:pPr>
      <w:r>
        <w:rPr>
          <w:rFonts w:hint="eastAsia" w:ascii="宋体" w:hAnsi="宋体" w:cs="宋体"/>
          <w:color w:val="000000"/>
          <w:lang w:val="en-US" w:eastAsia="zh-CN"/>
        </w:rPr>
        <w:t>11.</w:t>
      </w:r>
      <w:r>
        <w:rPr>
          <w:rFonts w:ascii="宋体" w:hAnsi="宋体" w:eastAsia="宋体" w:cs="宋体"/>
          <w:color w:val="000000"/>
        </w:rPr>
        <w:t>文中画波浪线的两句中，都有“甚至”一词，说说二者表意上的不同。</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color w:val="000000"/>
        </w:rPr>
      </w:pPr>
      <w:r>
        <w:rPr>
          <w:color w:val="000000"/>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ind w:firstLine="211" w:firstLineChars="100"/>
        <w:jc w:val="left"/>
        <w:textAlignment w:val="center"/>
        <w:rPr>
          <w:rFonts w:ascii="宋体" w:hAnsi="宋体" w:eastAsia="宋体" w:cs="宋体"/>
          <w:color w:val="000000"/>
        </w:rPr>
      </w:pPr>
      <w:r>
        <w:rPr>
          <w:b/>
          <w:bCs/>
          <w:color w:val="000000"/>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1</w:t>
      </w:r>
      <w:r>
        <w:rPr>
          <w:rFonts w:hint="eastAsia"/>
          <w:color w:val="000000"/>
          <w:lang w:val="en-US" w:eastAsia="zh-CN"/>
        </w:rPr>
        <w:t>2.</w:t>
      </w:r>
      <w:r>
        <w:rPr>
          <w:rFonts w:ascii="宋体" w:hAnsi="宋体" w:eastAsia="宋体" w:cs="宋体"/>
          <w:color w:val="000000"/>
        </w:rPr>
        <w:t>请在文中画横线处补写恰当的语句，使整段文字语意完整连贯，内容贴切，逻辑严密，每处不超过12个字。</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
    <w:sectPr>
      <w:headerReference r:id="rId5" w:type="first"/>
      <w:footerReference r:id="rId8" w:type="first"/>
      <w:headerReference r:id="rId3" w:type="default"/>
      <w:footerReference r:id="rId6" w:type="default"/>
      <w:headerReference r:id="rId4" w:type="even"/>
      <w:footerReference r:id="rId7" w:type="even"/>
      <w:pgSz w:w="11906" w:h="16838"/>
      <w:pgMar w:top="1083" w:right="1080" w:bottom="1100" w:left="1080" w:header="152" w:footer="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1"/>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08"/>
      </w:tabs>
      <w:jc w:val="both"/>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49"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学科网 zxxk.com"/>
                  <pic:cNvPicPr>
                    <a:picLocks noChangeAspect="1"/>
                  </pic:cNvPicPr>
                </pic:nvPicPr>
                <pic:blipFill>
                  <a:blip r:embed="rId1" r:link="rId2"/>
                  <a:stretch>
                    <a:fillRect/>
                  </a:stretch>
                </pic:blipFill>
                <pic:spPr>
                  <a:xfrm>
                    <a:off x="0" y="0"/>
                    <a:ext cx="635" cy="635"/>
                  </a:xfrm>
                  <a:prstGeom prst="rect">
                    <a:avLst/>
                  </a:prstGeom>
                  <a:noFill/>
                  <a:ln>
                    <a:noFill/>
                  </a:ln>
                </pic:spPr>
              </pic:pic>
            </a:graphicData>
          </a:graphic>
        </wp:anchor>
      </w:drawing>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p>
    <w:pPr>
      <w:pBdr>
        <w:bottom w:val="none" w:color="auto" w:sz="0" w:space="1"/>
      </w:pBdr>
      <w:snapToGrid w:val="0"/>
      <w:rPr>
        <w:rFonts w:cs="Times New Roman"/>
        <w:kern w:val="0"/>
        <w:sz w:val="2"/>
        <w:szCs w:val="2"/>
      </w:rPr>
    </w:pPr>
    <w: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3"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学科网 zxxk.com"/>
                  <pic:cNvPicPr>
                    <a:picLocks noChangeAspect="1"/>
                  </pic:cNvPicPr>
                </pic:nvPicPr>
                <pic:blipFill>
                  <a:blip r:embed="rId1" r:link="rId2"/>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1MTczZTY3NDVmZWMzYzdkMDc2NDBjNWIxMGYyYjMifQ=="/>
  </w:docVars>
  <w:rsids>
    <w:rsidRoot w:val="0DEE7780"/>
    <w:rsid w:val="0DEE7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wmf"/><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7B75232B38-A165-1FB7-499C-2E1C792CACB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7B75232B38-A165-1FB7-499C-2E1C792CACB5%2525257D.png" TargetMode="External"/><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2024-01-03T11:42:00Z</dcterms:created>
  <dc:creator>简单办公丶皎舟</dc:creator>
  <cp:lastModifiedBy>简单办公丶皎舟</cp:lastModifiedBy>
  <dcterms:modified xsi:type="dcterms:W3CDTF">2024-01-03T11:47:06Z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1A48319709F446889CED0770A72C1003_11</vt:lpwstr>
  </property>
</Properties>
</file>