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诗歌鉴赏之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赏析炼句艺术</w:t>
      </w:r>
    </w:p>
    <w:p>
      <w:pPr>
        <w:spacing w:line="34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hint="default" w:ascii="楷体" w:hAnsi="楷体" w:eastAsia="楷体" w:cs="楷体"/>
          <w:b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12.13</w:t>
      </w:r>
    </w:p>
    <w:p>
      <w:pPr>
        <w:snapToGrid w:val="0"/>
        <w:spacing w:line="306" w:lineRule="exact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该课属于“文学阅读与写作”学习任务群，本任务群旨在根据诗歌、散文、小说、剧本不同的艺术表现方式，从语言、构思、形象、意蕴、情感等多个角度欣赏作品，感受作品中的艺术形象，理解欣赏作品的语言表达，把握作品的内涵，理解作者的创作意图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Cs w:val="21"/>
        </w:rPr>
        <w:t>培养民族审美趣味，增进对中华优秀传统文化的理解，提升对中华民族文化的认同感、自豪感，增强文化自信，更好地继承和弘扬中华优秀传统文化。</w:t>
      </w:r>
    </w:p>
    <w:p>
      <w:pPr>
        <w:pStyle w:val="6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p>
      <w:pPr>
        <w:numPr>
          <w:ilvl w:val="0"/>
          <w:numId w:val="0"/>
        </w:numPr>
        <w:snapToGrid w:val="0"/>
        <w:spacing w:line="240" w:lineRule="auto"/>
        <w:rPr>
          <w:rFonts w:hint="eastAsia" w:eastAsia="黑体"/>
          <w:szCs w:val="20"/>
        </w:rPr>
      </w:pPr>
      <w:r>
        <w:rPr>
          <w:rFonts w:hint="eastAsia" w:eastAsia="黑体"/>
          <w:szCs w:val="20"/>
          <w:lang w:val="en-US" w:eastAsia="zh-CN"/>
        </w:rPr>
        <w:drawing>
          <wp:inline distT="0" distB="0" distL="114300" distR="114300">
            <wp:extent cx="4410710" cy="2263140"/>
            <wp:effectExtent l="0" t="0" r="8890" b="381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掌握赏析炼句的角度和答题规范，尤其是律诗首联、尾联的表达效果。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(一)掌握赏句的方法技巧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古人云：“炼字不如炼句。”所谓炼句，就是根据表情达意或结构的需要，在句中运用恰当的表达技巧或对句子做语法方面的调整。所炼句子，多是能奠定全诗感情基调，表现全诗主旨的关键句，或是在结构中起重要作用，在表达上极具表现力的关键句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炼句题一般考的都是能使全诗生动飞扬的句子，熔铸了作者强烈感情的句子。这种句子赏析题是一种综合性、自由度大的赏析题型，是近几年高考的热点题型。它主要从表达技巧出发，有的句子运用修辞手法，有的句子运用表现手法。一般而言，高考所选句子，都是在表达上有特色的句子，鉴赏就是要看出其在表达上的特别之处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赏句要注意以下角度：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(1)理解句意及情感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弄懂所给句子的基本意思，把握其内容、情感的内涵。这既是赏句的前提和基础，也是赏句的一个角度。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(2)关注句子的语言特点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①句子倒装——具有错位之美。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②句子对仗——具有整饬之美。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③适当省略——诗句韵味悠长。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④意象叠加——创造意境。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⑤长于炼字——具有凝练之美。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(3)分析表达技巧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赏析关键诗句时，要注重诗句所使用的表达技巧，从表达方式、修辞手法、表现手法等角度进行鉴赏。比如修辞手法方面，使用比喻会使诗句更加形象生动，使用拟人会使诗句更加富有情趣，使用典故能使诗句意蕴更加丰富等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(4)结合句子位置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①首句作用——或开篇点题、统领全诗，领起下文对什么的描写；或渲染某种气氛，为诗歌奠定某种基调；或首句设问，引出后面的内容。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②中间句作用——或承前什么内容，引出后面什么内容；或借景抒情，表达作者什么感情。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③尾句作用——或总结全诗，深化或升华主题；或卒章显志，表现作者什么情感；或以景衬情，用什么景衬托什么情。尤其是以景结情句，有含蓄隽永之妙。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(二)赏析律诗首联、尾联的表达效果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高考所选诗体以律诗为主，而赏析律诗，多选首联与尾联两个重点部位。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析首联：（1）写出了什么内容。（2）内容承载的作用。（3）结构作用：点题或照应题目，或总领全文；为下文作反衬；为下文议论、抒情做铺垫。当然，还要扣住技巧本身说效果。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赏析尾联的思路同赏析其他联一样：先点明结句的手法(通常手法是虚写、以景结情、卒章显志等)；再指出这种手法的表达效果，尤其要指出蕴含的情感。结句如果是以景结情(借景抒情、寓情于景)，效果就是含蓄蕴藉；结句如果是戛然而止，效果就是言有尽而意无穷；结句如果是直接抒情，效果就是直抒胸臆，点明主旨，卒章显志。结构上一般是照应前文(标题)，首尾圆合，使结构完整。</w:t>
      </w:r>
    </w:p>
    <w:p>
      <w:pPr>
        <w:snapToGrid w:val="0"/>
        <w:spacing w:line="306" w:lineRule="exact"/>
        <w:ind w:firstLine="420" w:firstLineChars="200"/>
        <w:rPr>
          <w:rFonts w:hint="eastAsia" w:eastAsia="黑体"/>
          <w:szCs w:val="20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同赏析其他联一样，赏析尾联也要有整体意识，要联系上文，不能只看诗句位置。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Chars="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/>
          <w:lang w:eastAsia="zh-CN"/>
        </w:rPr>
        <w:t>三、</w:t>
      </w:r>
      <w:r>
        <w:rPr>
          <w:rFonts w:hint="eastAsia" w:ascii="宋体" w:hAnsi="宋体"/>
          <w:b/>
          <w:szCs w:val="21"/>
        </w:rPr>
        <w:t>典例调研</w:t>
      </w: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</w:rPr>
        <w:t>阅读下面这首唐诗，完成后面任务。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早寒江上有怀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孟浩然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木落雁南度，北风江上寒。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我家襄水曲，遥隔楚云端。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乡泪客中尽，孤帆天际看。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迷津</w:t>
      </w:r>
      <w:r>
        <w:rPr>
          <w:rFonts w:hint="eastAsia" w:ascii="宋体" w:hAnsi="宋体" w:eastAsia="宋体" w:cs="宋体"/>
          <w:vertAlign w:val="superscript"/>
        </w:rPr>
        <w:t>[注]</w:t>
      </w:r>
      <w:r>
        <w:rPr>
          <w:rFonts w:hint="eastAsia" w:ascii="宋体" w:hAnsi="宋体" w:eastAsia="宋体" w:cs="宋体"/>
        </w:rPr>
        <w:t>欲有问，平海夕漫漫。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"D:\\2023\\一轮\\语文\\语文 新教材 不显版本\\左括.TIF"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"D:\\2023\\一轮\\语文\\语文 新教材 不显版本\\左括.TIF"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6670" cy="105410"/>
            <wp:effectExtent l="0" t="0" r="11430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注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"D:\\2023\\一轮\\语文\\语文 新教材 不显版本\\右括.TIF"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"D:\\2023\\一轮\\语文\\语文 新教材 不显版本\\右括.TIF"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6670" cy="105410"/>
            <wp:effectExtent l="0" t="0" r="1143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《论语·微子》记载，孔子周游列国时找不到渡口，使子路问津。遇到两个隐者长沮、桀溺，长沮、桀溺不说津(渡口)的所在，反而嘲讽孔子栖栖遑遑、奔走四方，以求见用，引出了孔子的一番慨叹。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>下面是本诗的思路导图，请结合文本填出空缺内容。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古诗阅读与鉴赏\\B40通.TIF"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3365" cy="3837305"/>
            <wp:effectExtent l="0" t="0" r="63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numPr>
          <w:ilvl w:val="0"/>
          <w:numId w:val="1"/>
        </w:numPr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结合全诗，赏析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木落雁南度，北风江上寒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2．请赏析本诗尾联。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Cs w:val="21"/>
          <w:lang w:eastAsia="zh-CN"/>
        </w:rPr>
        <w:t>四、</w:t>
      </w: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诗歌鉴赏之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赏析炼句艺术</w:t>
      </w:r>
    </w:p>
    <w:p>
      <w:pPr>
        <w:spacing w:line="34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12.13</w:t>
      </w:r>
      <w:bookmarkStart w:id="1" w:name="_GoBack"/>
      <w:bookmarkEnd w:id="1"/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widowControl/>
        <w:numPr>
          <w:ilvl w:val="0"/>
          <w:numId w:val="2"/>
        </w:numPr>
        <w:spacing w:line="360" w:lineRule="exact"/>
        <w:jc w:val="left"/>
        <w:textAlignment w:val="baseline"/>
        <w:rPr>
          <w:rFonts w:ascii="Times New Roman" w:hAnsi="Times New Roman" w:eastAsia="仿宋_GB2312" w:cs="Times New Roman"/>
        </w:rPr>
      </w:pPr>
      <w:bookmarkStart w:id="0" w:name="_Hlk92784173"/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pStyle w:val="2"/>
        <w:snapToGrid w:val="0"/>
        <w:spacing w:line="360" w:lineRule="auto"/>
        <w:ind w:firstLine="420" w:firstLineChars="2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(一）(2017·全国Ⅰ)阅读下面这首宋诗，完成后面任务。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礼部贡院阅进士就试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欧阳修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紫案焚香暖吹轻，广庭清晓席群英。无哗战士衔枚勇，下笔春蚕食叶声。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乡里献贤先德行，朝廷列爵待公卿。自惭衰病心神耗，赖有群公鉴裁精。</w:t>
      </w:r>
    </w:p>
    <w:p>
      <w:pPr>
        <w:pStyle w:val="2"/>
        <w:snapToGrid w:val="0"/>
        <w:spacing w:line="360" w:lineRule="auto"/>
        <w:ind w:firstLine="630" w:firstLineChars="3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(改编题)</w:t>
      </w:r>
      <w:r>
        <w:rPr>
          <w:rFonts w:ascii="Times New Roman" w:hAnsi="Times New Roman" w:cs="Times New Roman"/>
        </w:rPr>
        <w:t>下列对这首诗的赏析，不恰当的一项是(　　)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A．诗的第一句写出了考场肃穆而又怡人的环境，衬托出作者的喜悦心情。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B．第三句重点在表现考生们奋勇争先、一往无前，所以把他们比作战士。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C．参加礼部考试的考生都由各地选送而来，道德品行是选送的首要依据。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D．朝廷对考生寄予了殷切的期望，希望他们能够成长为国家的栋梁之材。</w:t>
      </w:r>
    </w:p>
    <w:p>
      <w:pPr>
        <w:pStyle w:val="2"/>
        <w:snapToGrid w:val="0"/>
        <w:spacing w:line="360" w:lineRule="auto"/>
        <w:ind w:firstLine="630" w:firstLineChars="3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2．本诗的第四句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下笔春蚕食叶声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广受后世称道，请赏析这一句的精妙之处。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2"/>
        </w:numPr>
        <w:adjustRightInd w:val="0"/>
        <w:snapToGrid w:val="0"/>
        <w:spacing w:line="340" w:lineRule="exact"/>
        <w:ind w:left="0" w:leftChars="0" w:firstLine="0" w:firstLine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拓展导练</w:t>
      </w:r>
    </w:p>
    <w:p>
      <w:pPr>
        <w:pStyle w:val="2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(二）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2"/>
        <w:snapToGrid w:val="0"/>
        <w:spacing w:line="360" w:lineRule="auto"/>
        <w:ind w:firstLine="630" w:firstLineChars="3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岭南江行①</w:t>
      </w:r>
    </w:p>
    <w:p>
      <w:pPr>
        <w:pStyle w:val="2"/>
        <w:snapToGrid w:val="0"/>
        <w:spacing w:line="360" w:lineRule="auto"/>
        <w:ind w:firstLine="630" w:firstLineChars="3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柳宗元</w:t>
      </w:r>
    </w:p>
    <w:p>
      <w:pPr>
        <w:pStyle w:val="2"/>
        <w:snapToGrid w:val="0"/>
        <w:spacing w:line="360" w:lineRule="auto"/>
        <w:ind w:firstLine="630" w:firstLineChars="3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瘴江南去入云烟，望尽黄茆是海边。</w:t>
      </w:r>
    </w:p>
    <w:p>
      <w:pPr>
        <w:pStyle w:val="2"/>
        <w:snapToGrid w:val="0"/>
        <w:spacing w:line="360" w:lineRule="auto"/>
        <w:ind w:firstLine="630" w:firstLineChars="3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山腹雨晴添象迹，潭心日暖长蛟涎②。</w:t>
      </w:r>
    </w:p>
    <w:p>
      <w:pPr>
        <w:pStyle w:val="2"/>
        <w:snapToGrid w:val="0"/>
        <w:spacing w:line="360" w:lineRule="auto"/>
        <w:ind w:firstLine="630" w:firstLineChars="3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射工③巧伺游人影，飓母④偏惊旅客船。</w:t>
      </w:r>
    </w:p>
    <w:p>
      <w:pPr>
        <w:pStyle w:val="2"/>
        <w:snapToGrid w:val="0"/>
        <w:spacing w:line="360" w:lineRule="auto"/>
        <w:ind w:firstLine="630" w:firstLineChars="300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从此忧来非一事，岂容华发待流年。</w:t>
      </w:r>
    </w:p>
    <w:p>
      <w:pPr>
        <w:pStyle w:val="2"/>
        <w:snapToGrid w:val="0"/>
        <w:spacing w:line="360" w:lineRule="auto"/>
        <w:ind w:firstLine="630" w:firstLineChars="3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670" cy="105410"/>
            <wp:effectExtent l="0" t="0" r="11430" b="889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670" cy="105410"/>
            <wp:effectExtent l="0" t="0" r="1143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　①此诗作于唐宪宗元和十年(815)，柳宗元因谗被贬而赴任柳州刺史的途中。②蛟涎：蛟龙的口液，这里指水蛭。③射工：毒虫名。也称蜮(yù)，古代神话传说中一种能含沙射影的动物。④飓母：飓风来临前天空出现的一种云气，形似虹霓；也用来指飓风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．下列对这首诗的理解和赏析，不正确的一项是(　　)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A．首联写江水南流一直隐入茫茫云烟，黄茅遍地丛生，环境荒凉恶劣。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B．颔联写雨过天晴可见象迹，阳光和暖可见蛟涎，奇特的景致让诗人欢愉兴奋。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华发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指花白的头发，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岂容华发待流年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蕴含了诗人对未来的忧虑之情。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D．本诗将叙事、描写、抒情融为一体，开拓了诗歌意境，突出了情感主旨。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．好诗句必能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状难写之景如在目前，含不尽之意见于言外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，请赏析颈联有何妙处。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both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line="340" w:lineRule="exact"/>
        <w:ind w:left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40" w:lineRule="exact"/>
        <w:ind w:left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pStyle w:val="2"/>
        <w:snapToGrid w:val="0"/>
        <w:spacing w:line="360" w:lineRule="auto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(三）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同吴王送杜秀芝赴举入京①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　白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秀才何翩翩，王许回也贤。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暂别庐江守，将游京兆天。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秋山宜落日，秀水出寒烟。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欲折一枝桂，还来雁沼②前。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670" cy="105410"/>
            <wp:effectExtent l="0" t="0" r="11430" b="889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670" cy="105410"/>
            <wp:effectExtent l="0" t="0" r="1143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①诗题一说是“送杜秀才赴举入京”，“芝”字疑讹误。②雁沼：雁池，汉梁孝王宫苑中的池沼名。这里代指吴王府宅。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．下列对这首诗的理解和赏析，不正确的一项是(　　)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A．首句直接称赞杜秀才，不仅以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秀才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直接称谓，而且还加以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翩翩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一词进行形象描绘。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B．第二句侧面刻画杜秀才的品格，以吴王口吻，借颜回的贤能，映衬杜秀才的脱俗。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C．颔联从空间角度，写杜秀才即将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辞别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诗人，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赴举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长安，交代事由，照应诗题。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D．颈联由叙事转为写景，以落日秋山的清丽、秀水寒烟的氤氲寄寓诗人的美好心灵与祝愿。</w:t>
      </w:r>
    </w:p>
    <w:p>
      <w:pPr>
        <w:pStyle w:val="2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6．尾联含蓄蕴藉，情韵悠长；虽没有直接写情，但句句有情。请结合诗句加以赏析。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(四）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阅读下面的文字，完成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7-9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题。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地坛离我家很近，或者说我家离地坛很近。总之，只好认为这是缘分。我常觉得这中间有着宿命的味道:①像这古园就是为了等我，而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A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在那儿等待了四百多年。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为了等我，四百多年里，它剥蚀了古殿檐头浮夸的琉璃，淡褪了门壁上炫耀的朱红，坍记了一段段高墙又散落了玉砌雕栏......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这时候想必我是该来了。十五年前的一个下午，我摇着轮椅进入园中，它为一个失魂落魄的人把一切都准备好了。那时，太阳循着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B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的路途正越来越大，也越红。在满园弥漫的沉静光芒中，如果你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C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去思考，它就②像是伴你终生的恋人，让你更容易看到时间，并看见自己的身影。在这里，你可以③像是一个孩子，也可以像是一个老人，玩自己所玩的，想自己所想的。所以，十五年了，我总是到那古园里去，在它的老树下或荒草边或颓墙旁，去默坐，去呆想，去推开耳边的嘈杂理一理纷乱的思绪，去窥看自己的心魂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 请在文中A、B、C横线处填入恰当的成语。(3分)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.文中①②③处都用了“像”，说说三者在表意上的不同。(3分)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.请分析文中画横线句子表达效果。(4分)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Courier New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cs="Times New Roman" w:asciiTheme="minorEastAsia" w:hAnsiTheme="minorEastAsia" w:eastAsiaTheme="minorEastAsia"/>
          <w:b/>
          <w:bCs/>
          <w:szCs w:val="21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p/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7C6FB"/>
    <w:multiLevelType w:val="singleLevel"/>
    <w:tmpl w:val="A4C7C6FB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CD1191A1"/>
    <w:multiLevelType w:val="singleLevel"/>
    <w:tmpl w:val="CD1191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IxNjllYzA0ZWFiMjZmZGI3NDE2MGZiNTQxZDIifQ=="/>
  </w:docVars>
  <w:rsids>
    <w:rsidRoot w:val="108E639F"/>
    <w:rsid w:val="108E639F"/>
    <w:rsid w:val="6EC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B40&#36890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2023-12-14T02:27:00Z</dcterms:created>
  <dc:creator>姚祥琳</dc:creator>
  <cp:lastModifiedBy>姚祥琳</cp:lastModifiedBy>
  <dcterms:modified xsi:type="dcterms:W3CDTF">2023-12-14T07:11:11Z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56594432349C44B2BE7992235B75E0D2_11</vt:lpwstr>
  </property>
</Properties>
</file>