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ascii="黑体" w:hAnsi="宋体" w:eastAsia="黑体"/>
          <w:b/>
          <w:sz w:val="28"/>
          <w:szCs w:val="28"/>
        </w:rPr>
      </w:pPr>
      <w:bookmarkStart w:id="1" w:name="_GoBack"/>
      <w:r>
        <w:rPr>
          <w:rFonts w:hint="eastAsia" w:ascii="黑体" w:hAnsi="宋体" w:eastAsia="黑体"/>
          <w:b/>
          <w:sz w:val="28"/>
          <w:szCs w:val="28"/>
        </w:rPr>
        <w:t>江苏省仪征中学202</w:t>
      </w:r>
      <w:r>
        <w:rPr>
          <w:rFonts w:hint="eastAsia" w:ascii="黑体" w:hAnsi="宋体" w:eastAsia="黑体"/>
          <w:b/>
          <w:sz w:val="28"/>
          <w:szCs w:val="28"/>
          <w:lang w:val="en-US" w:eastAsia="zh-CN"/>
        </w:rPr>
        <w:t>2</w:t>
      </w:r>
      <w:r>
        <w:rPr>
          <w:rFonts w:hint="eastAsia" w:ascii="黑体" w:hAnsi="宋体" w:eastAsia="黑体"/>
          <w:b/>
          <w:sz w:val="28"/>
          <w:szCs w:val="28"/>
        </w:rPr>
        <w:t>—202</w:t>
      </w:r>
      <w:r>
        <w:rPr>
          <w:rFonts w:hint="eastAsia" w:ascii="黑体" w:hAnsi="宋体" w:eastAsia="黑体"/>
          <w:b/>
          <w:sz w:val="28"/>
          <w:szCs w:val="28"/>
          <w:lang w:val="en-US" w:eastAsia="zh-CN"/>
        </w:rPr>
        <w:t>3</w:t>
      </w:r>
      <w:r>
        <w:rPr>
          <w:rFonts w:hint="eastAsia" w:ascii="黑体" w:hAnsi="宋体" w:eastAsia="黑体"/>
          <w:b/>
          <w:sz w:val="28"/>
          <w:szCs w:val="28"/>
        </w:rPr>
        <w:t>学年度第二学期高三语文学科导学案</w:t>
      </w:r>
    </w:p>
    <w:p>
      <w:pPr>
        <w:spacing w:line="360" w:lineRule="exact"/>
        <w:jc w:val="center"/>
        <w:rPr>
          <w:rFonts w:hint="eastAsia" w:eastAsia="方正大黑简体"/>
          <w:b/>
          <w:bCs w:val="0"/>
          <w:sz w:val="28"/>
          <w:szCs w:val="28"/>
          <w:lang w:val="en-US" w:eastAsia="zh-CN"/>
        </w:rPr>
      </w:pPr>
      <w:r>
        <w:rPr>
          <w:rFonts w:hint="eastAsia" w:ascii="方正大黑简体" w:hAnsi="方正大黑简体" w:eastAsia="方正大黑简体" w:cs="方正大黑简体"/>
          <w:b w:val="0"/>
          <w:bCs w:val="0"/>
          <w:color w:val="000000" w:themeColor="text1"/>
          <w:sz w:val="36"/>
          <w:szCs w:val="36"/>
          <w:highlight w:val="none"/>
          <w14:textFill>
            <w14:solidFill>
              <w14:schemeClr w14:val="tx1"/>
            </w14:solidFill>
          </w14:textFill>
        </w:rPr>
        <w:t>回扣复习指导——信息类阅读部分</w:t>
      </w:r>
      <w:r>
        <w:rPr>
          <w:rFonts w:hint="eastAsia" w:ascii="方正大黑简体" w:hAnsi="方正大黑简体" w:eastAsia="方正大黑简体" w:cs="方正大黑简体"/>
          <w:b w:val="0"/>
          <w:bCs w:val="0"/>
          <w:color w:val="000000" w:themeColor="text1"/>
          <w:sz w:val="36"/>
          <w:szCs w:val="36"/>
          <w:highlight w:val="none"/>
          <w:lang w:val="en-US" w:eastAsia="zh-CN"/>
          <w14:textFill>
            <w14:solidFill>
              <w14:schemeClr w14:val="tx1"/>
            </w14:solidFill>
          </w14:textFill>
        </w:rPr>
        <w:t>1</w:t>
      </w:r>
    </w:p>
    <w:p>
      <w:pPr>
        <w:spacing w:line="360" w:lineRule="exact"/>
        <w:jc w:val="center"/>
        <w:rPr>
          <w:rFonts w:hint="eastAsia" w:ascii="楷体" w:hAnsi="楷体" w:eastAsia="楷体" w:cs="宋体"/>
          <w:sz w:val="24"/>
          <w:szCs w:val="24"/>
          <w:lang w:eastAsia="zh-CN"/>
        </w:rPr>
      </w:pPr>
      <w:r>
        <w:rPr>
          <w:rFonts w:hint="eastAsia" w:ascii="楷体" w:hAnsi="楷体" w:eastAsia="楷体" w:cs="宋体"/>
          <w:sz w:val="24"/>
          <w:szCs w:val="24"/>
        </w:rPr>
        <w:t>研制人：</w:t>
      </w:r>
      <w:r>
        <w:rPr>
          <w:rFonts w:hint="eastAsia" w:ascii="楷体" w:hAnsi="楷体" w:eastAsia="楷体" w:cs="宋体"/>
          <w:sz w:val="24"/>
          <w:szCs w:val="24"/>
          <w:lang w:eastAsia="zh-CN"/>
        </w:rPr>
        <w:t>孔祥梅</w:t>
      </w:r>
      <w:r>
        <w:rPr>
          <w:rFonts w:ascii="楷体" w:hAnsi="楷体" w:eastAsia="楷体" w:cs="宋体"/>
          <w:sz w:val="24"/>
          <w:szCs w:val="24"/>
        </w:rPr>
        <w:t xml:space="preserve">      </w:t>
      </w:r>
      <w:r>
        <w:rPr>
          <w:rFonts w:hint="eastAsia" w:ascii="楷体" w:hAnsi="楷体" w:eastAsia="楷体" w:cs="宋体"/>
          <w:sz w:val="24"/>
          <w:szCs w:val="24"/>
        </w:rPr>
        <w:t>审核人：</w:t>
      </w:r>
      <w:r>
        <w:rPr>
          <w:rFonts w:hint="eastAsia" w:ascii="楷体" w:hAnsi="楷体" w:eastAsia="楷体" w:cs="宋体"/>
          <w:sz w:val="24"/>
          <w:szCs w:val="24"/>
          <w:lang w:eastAsia="zh-CN"/>
        </w:rPr>
        <w:t>王勇</w:t>
      </w:r>
    </w:p>
    <w:p>
      <w:pPr>
        <w:spacing w:line="360" w:lineRule="exact"/>
        <w:ind w:firstLine="1440" w:firstLineChars="600"/>
        <w:rPr>
          <w:rFonts w:hint="default" w:ascii="宋体" w:hAnsi="宋体" w:eastAsia="楷体" w:cs="宋体"/>
          <w:sz w:val="24"/>
          <w:szCs w:val="24"/>
          <w:u w:val="single"/>
          <w:lang w:val="en-US" w:eastAsia="zh-CN"/>
        </w:rPr>
      </w:pPr>
      <w:r>
        <w:rPr>
          <w:rFonts w:hint="eastAsia" w:ascii="楷体" w:hAnsi="楷体" w:eastAsia="楷体" w:cs="楷体"/>
          <w:bCs/>
          <w:sz w:val="24"/>
        </w:rPr>
        <w:t>班级：_______姓名：________ 学号：______  授课日期：</w:t>
      </w:r>
      <w:r>
        <w:rPr>
          <w:rFonts w:hint="eastAsia" w:ascii="宋体" w:hAnsi="宋体" w:eastAsia="楷体" w:cs="宋体"/>
          <w:sz w:val="24"/>
          <w:szCs w:val="24"/>
          <w:u w:val="single"/>
        </w:rPr>
        <w:t>05.</w:t>
      </w:r>
      <w:r>
        <w:rPr>
          <w:rFonts w:hint="eastAsia" w:ascii="宋体" w:hAnsi="宋体" w:eastAsia="楷体" w:cs="宋体"/>
          <w:sz w:val="24"/>
          <w:szCs w:val="24"/>
          <w:u w:val="single"/>
          <w:lang w:val="en-US" w:eastAsia="zh-CN"/>
        </w:rPr>
        <w:t>22</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楷体" w:hAnsi="楷体" w:eastAsia="楷体" w:cs="楷体"/>
          <w:bCs/>
          <w:sz w:val="24"/>
          <w:lang w:val="en-US" w:eastAsia="zh-CN"/>
        </w:rPr>
      </w:pPr>
      <w:r>
        <w:rPr>
          <w:rFonts w:hint="default" w:ascii="楷体" w:hAnsi="楷体" w:eastAsia="楷体" w:cs="楷体"/>
          <w:b/>
          <w:bCs w:val="0"/>
          <w:sz w:val="24"/>
          <w:lang w:val="en-US" w:eastAsia="zh-CN"/>
        </w:rPr>
        <w:t>本课在课程标准中的表述</w:t>
      </w:r>
      <w:r>
        <w:rPr>
          <w:rFonts w:hint="default" w:ascii="楷体" w:hAnsi="楷体" w:eastAsia="楷体" w:cs="楷体"/>
          <w:bCs/>
          <w:sz w:val="24"/>
          <w:lang w:val="en-US" w:eastAsia="zh-CN"/>
        </w:rPr>
        <w:t>：</w:t>
      </w:r>
      <w:r>
        <w:rPr>
          <w:rFonts w:hint="eastAsia" w:ascii="楷体" w:hAnsi="楷体" w:eastAsia="楷体" w:cs="楷体"/>
          <w:bCs/>
          <w:sz w:val="24"/>
        </w:rPr>
        <w:t>新课程标准的一个重要内容，就是精选适应时代发展需要的内容，变革学习方式，使学生获得必需的语文素养。</w:t>
      </w:r>
      <w:r>
        <w:rPr>
          <w:rFonts w:hint="eastAsia" w:ascii="楷体" w:hAnsi="楷体" w:eastAsia="楷体" w:cs="楷体"/>
          <w:bCs/>
          <w:sz w:val="24"/>
          <w:lang w:val="en-US" w:eastAsia="zh-CN"/>
        </w:rPr>
        <w:t>学业质量水平四：“</w:t>
      </w:r>
      <w:r>
        <w:rPr>
          <w:rFonts w:hint="default" w:ascii="楷体" w:hAnsi="楷体" w:eastAsia="楷体" w:cs="楷体"/>
          <w:bCs/>
          <w:sz w:val="24"/>
          <w:lang w:val="en-US" w:eastAsia="zh-CN"/>
        </w:rPr>
        <w:t>在理解语言时，能准确、清楚地分析和阐明观点与材料之间的关系，能就文本的内容或形式提出质疑，展开联想，并能找出相关证据材料支持自己的观点，反驳或补充解释文本的观点。能比较、概括多个文本的信息，发现其内容、观点、情感、材料组织与使用等方面的异同，尝试提出需要深入探究的问题。</w:t>
      </w:r>
      <w:r>
        <w:rPr>
          <w:rFonts w:hint="eastAsia" w:ascii="楷体" w:hAnsi="楷体" w:eastAsia="楷体" w:cs="楷体"/>
          <w:bCs/>
          <w:sz w:val="24"/>
          <w:lang w:val="en-US" w:eastAsia="zh-CN"/>
        </w:rPr>
        <w:t>”</w:t>
      </w:r>
    </w:p>
    <w:bookmarkEnd w:id="1"/>
    <w:p>
      <w:pPr>
        <w:keepNext w:val="0"/>
        <w:keepLines w:val="0"/>
        <w:pageBreakBefore w:val="0"/>
        <w:widowControl w:val="0"/>
        <w:kinsoku/>
        <w:wordWrap/>
        <w:overflowPunct/>
        <w:topLinePunct w:val="0"/>
        <w:autoSpaceDE/>
        <w:autoSpaceDN/>
        <w:bidi w:val="0"/>
        <w:adjustRightInd w:val="0"/>
        <w:snapToGrid w:val="0"/>
        <w:spacing w:before="157" w:beforeLines="50" w:beforeAutospacing="0" w:after="157" w:afterLines="50" w:afterAutospacing="0" w:line="360" w:lineRule="exact"/>
        <w:ind w:left="0" w:leftChars="0" w:right="0" w:rightChars="0" w:firstLine="0" w:firstLineChars="0"/>
        <w:jc w:val="left"/>
        <w:textAlignment w:val="auto"/>
        <w:rPr>
          <w:rFonts w:hint="eastAsia" w:ascii="黑体" w:hAnsi="黑体" w:eastAsia="黑体" w:cs="黑体"/>
          <w:b/>
          <w:bCs/>
          <w:color w:val="000000" w:themeColor="text1"/>
          <w:sz w:val="26"/>
          <w:szCs w:val="26"/>
          <w:highlight w:val="yellow"/>
          <w:lang w:val="en-US" w:eastAsia="zh-CN"/>
          <w14:textFill>
            <w14:solidFill>
              <w14:schemeClr w14:val="tx1"/>
            </w14:solidFill>
          </w14:textFill>
        </w:rPr>
      </w:pPr>
      <w:r>
        <w:rPr>
          <w:rFonts w:hint="eastAsia" w:ascii="黑体" w:hAnsi="黑体" w:eastAsia="黑体" w:cs="黑体"/>
          <w:b/>
          <w:bCs/>
          <w:color w:val="000000" w:themeColor="text1"/>
          <w:sz w:val="26"/>
          <w:szCs w:val="26"/>
          <w:highlight w:val="yellow"/>
          <w:lang w:val="en-US" w:eastAsia="zh-CN"/>
          <w14:textFill>
            <w14:solidFill>
              <w14:schemeClr w14:val="tx1"/>
            </w14:solidFill>
          </w14:textFill>
        </w:rPr>
        <w:t>【洞悉·高考命题】</w:t>
      </w:r>
    </w:p>
    <w:tbl>
      <w:tblPr>
        <w:tblStyle w:val="9"/>
        <w:tblW w:w="4986" w:type="pct"/>
        <w:jc w:val="center"/>
        <w:tblBorders>
          <w:top w:val="single" w:color="4C4C4C" w:sz="6"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0"/>
        <w:gridCol w:w="3122"/>
        <w:gridCol w:w="1012"/>
        <w:gridCol w:w="1311"/>
        <w:gridCol w:w="548"/>
        <w:gridCol w:w="967"/>
        <w:gridCol w:w="1891"/>
        <w:gridCol w:w="515"/>
      </w:tblGrid>
      <w:tr>
        <w:tblPrEx>
          <w:tblBorders>
            <w:top w:val="single" w:color="4C4C4C" w:sz="6"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blHeader/>
          <w:jc w:val="center"/>
        </w:trPr>
        <w:tc>
          <w:tcPr>
            <w:tcW w:w="810"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年份</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卷别</w:t>
            </w:r>
          </w:p>
        </w:tc>
        <w:tc>
          <w:tcPr>
            <w:tcW w:w="2935"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材料</w:t>
            </w:r>
            <w:r>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t>出处标题</w:t>
            </w:r>
          </w:p>
        </w:tc>
        <w:tc>
          <w:tcPr>
            <w:tcW w:w="951"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t>文本体裁</w:t>
            </w:r>
          </w:p>
        </w:tc>
        <w:tc>
          <w:tcPr>
            <w:tcW w:w="1231"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材料类型</w:t>
            </w:r>
          </w:p>
        </w:tc>
        <w:tc>
          <w:tcPr>
            <w:tcW w:w="515"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字数</w:t>
            </w:r>
          </w:p>
        </w:tc>
        <w:tc>
          <w:tcPr>
            <w:tcW w:w="909"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题型结构</w:t>
            </w:r>
          </w:p>
        </w:tc>
        <w:tc>
          <w:tcPr>
            <w:tcW w:w="1777"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t>考查重点</w:t>
            </w:r>
          </w:p>
        </w:tc>
        <w:tc>
          <w:tcPr>
            <w:tcW w:w="484" w:type="dxa"/>
            <w:tcBorders>
              <w:top w:val="single" w:color="4C4C4C"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分值</w:t>
            </w:r>
          </w:p>
        </w:tc>
      </w:tr>
      <w:tr>
        <w:tblPrEx>
          <w:tblBorders>
            <w:top w:val="single" w:color="4C4C4C" w:sz="6"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8" w:hRule="atLeast"/>
          <w:jc w:val="center"/>
        </w:trPr>
        <w:tc>
          <w:tcPr>
            <w:tcW w:w="810"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2022·新高考全国Ⅰ卷</w:t>
            </w:r>
          </w:p>
        </w:tc>
        <w:tc>
          <w:tcPr>
            <w:tcW w:w="2935" w:type="dxa"/>
            <w:tcBorders>
              <w:top w:val="single" w:color="808080" w:sz="6" w:space="0"/>
              <w:left w:val="single" w:color="808080" w:sz="6" w:space="0"/>
              <w:bottom w:val="single" w:color="808080" w:sz="6" w:space="0"/>
              <w:right w:val="single" w:color="808080" w:sz="6" w:space="0"/>
              <w:tl2br w:val="nil"/>
              <w:tr2bl w:val="nil"/>
            </w:tcBorders>
            <w:noWrap w:val="0"/>
            <w:tcMar>
              <w:left w:w="105" w:type="dxa"/>
              <w:right w:w="105"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习近平《加快构建中国特色哲学社会科学》（材料一</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郑敏《新诗百年探索与后新诗潮》（材料二</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c>
          <w:tcPr>
            <w:tcW w:w="95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政论时评＋学术论文</w:t>
            </w:r>
          </w:p>
        </w:tc>
        <w:tc>
          <w:tcPr>
            <w:tcW w:w="123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非连续</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文本</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（中华优秀传统文化的守护与创新）</w:t>
            </w:r>
          </w:p>
        </w:tc>
        <w:tc>
          <w:tcPr>
            <w:tcW w:w="515"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1716</w:t>
            </w:r>
          </w:p>
        </w:tc>
        <w:tc>
          <w:tcPr>
            <w:tcW w:w="909"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3客观+</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2主观</w:t>
            </w:r>
          </w:p>
        </w:tc>
        <w:tc>
          <w:tcPr>
            <w:tcW w:w="1777"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信息的理解分析、评价推断、迁移运用、概括整合</w:t>
            </w:r>
          </w:p>
        </w:tc>
        <w:tc>
          <w:tcPr>
            <w:tcW w:w="484"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17</w:t>
            </w:r>
          </w:p>
        </w:tc>
      </w:tr>
      <w:tr>
        <w:tblPrEx>
          <w:tblBorders>
            <w:top w:val="single" w:color="4C4C4C" w:sz="6"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5" w:hRule="atLeast"/>
          <w:jc w:val="center"/>
        </w:trPr>
        <w:tc>
          <w:tcPr>
            <w:tcW w:w="810"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2022·新高考全国Ⅱ卷</w:t>
            </w:r>
          </w:p>
        </w:tc>
        <w:tc>
          <w:tcPr>
            <w:tcW w:w="2935" w:type="dxa"/>
            <w:tcBorders>
              <w:top w:val="single" w:color="808080" w:sz="6" w:space="0"/>
              <w:left w:val="single" w:color="808080" w:sz="6" w:space="0"/>
              <w:bottom w:val="single" w:color="808080" w:sz="6" w:space="0"/>
              <w:right w:val="single" w:color="808080" w:sz="6" w:space="0"/>
              <w:tl2br w:val="nil"/>
              <w:tr2bl w:val="nil"/>
            </w:tcBorders>
            <w:noWrap w:val="0"/>
            <w:tcMar>
              <w:left w:w="105" w:type="dxa"/>
              <w:right w:w="105"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辛红娟《中国典籍“谁来译”》（材料一</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党争胜《霍克思与杨宪益的翻译思想刍议》（材料二</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杨乃乔《＜红楼梦＞与The Story of the Stone——谈异质文化观念的不可通约性及其翻译的创造性》（材料三</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c>
          <w:tcPr>
            <w:tcW w:w="95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学术论文</w:t>
            </w:r>
          </w:p>
        </w:tc>
        <w:tc>
          <w:tcPr>
            <w:tcW w:w="123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非连续</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文本</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（中国典籍的翻译）</w:t>
            </w:r>
          </w:p>
        </w:tc>
        <w:tc>
          <w:tcPr>
            <w:tcW w:w="515"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1515</w:t>
            </w:r>
          </w:p>
        </w:tc>
        <w:tc>
          <w:tcPr>
            <w:tcW w:w="909"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3客观+</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2主观</w:t>
            </w:r>
          </w:p>
        </w:tc>
        <w:tc>
          <w:tcPr>
            <w:tcW w:w="1777"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信息的梳理概括、概括分析、评价推断、概括整合</w:t>
            </w:r>
          </w:p>
        </w:tc>
        <w:tc>
          <w:tcPr>
            <w:tcW w:w="484"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19</w:t>
            </w:r>
          </w:p>
        </w:tc>
      </w:tr>
      <w:tr>
        <w:tblPrEx>
          <w:tblBorders>
            <w:top w:val="single" w:color="4C4C4C" w:sz="6"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jc w:val="center"/>
        </w:trPr>
        <w:tc>
          <w:tcPr>
            <w:tcW w:w="810"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2021·新高考全国Ⅰ卷</w:t>
            </w:r>
          </w:p>
        </w:tc>
        <w:tc>
          <w:tcPr>
            <w:tcW w:w="2935" w:type="dxa"/>
            <w:tcBorders>
              <w:top w:val="single" w:color="808080" w:sz="6" w:space="0"/>
              <w:left w:val="single" w:color="808080" w:sz="6" w:space="0"/>
              <w:bottom w:val="single" w:color="808080" w:sz="6" w:space="0"/>
              <w:right w:val="single" w:color="808080" w:sz="6" w:space="0"/>
              <w:tl2br w:val="nil"/>
              <w:tr2bl w:val="nil"/>
            </w:tcBorders>
            <w:noWrap w:val="0"/>
            <w:tcMar>
              <w:left w:w="105" w:type="dxa"/>
              <w:right w:w="105"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朱光潜《诗论》（材料一</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钱锺书《读＜拉奥孔＞》（材料二</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c>
          <w:tcPr>
            <w:tcW w:w="95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学术论文</w:t>
            </w:r>
          </w:p>
        </w:tc>
        <w:tc>
          <w:tcPr>
            <w:tcW w:w="123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非连续</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文本</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美学艺术）</w:t>
            </w:r>
          </w:p>
        </w:tc>
        <w:tc>
          <w:tcPr>
            <w:tcW w:w="515"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1852</w:t>
            </w:r>
          </w:p>
        </w:tc>
        <w:tc>
          <w:tcPr>
            <w:tcW w:w="909"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3客观+</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2主观</w:t>
            </w:r>
          </w:p>
        </w:tc>
        <w:tc>
          <w:tcPr>
            <w:tcW w:w="1777"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信息的理解分析、评价推断、迁移运用，论证思路分析</w:t>
            </w:r>
          </w:p>
        </w:tc>
        <w:tc>
          <w:tcPr>
            <w:tcW w:w="484"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19</w:t>
            </w:r>
          </w:p>
        </w:tc>
      </w:tr>
      <w:tr>
        <w:tblPrEx>
          <w:tblBorders>
            <w:top w:val="single" w:color="4C4C4C" w:sz="6"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jc w:val="center"/>
        </w:trPr>
        <w:tc>
          <w:tcPr>
            <w:tcW w:w="810"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2021·新高考全国Ⅱ卷</w:t>
            </w:r>
          </w:p>
        </w:tc>
        <w:tc>
          <w:tcPr>
            <w:tcW w:w="2935" w:type="dxa"/>
            <w:tcBorders>
              <w:top w:val="single" w:color="808080" w:sz="6" w:space="0"/>
              <w:left w:val="single" w:color="808080" w:sz="6" w:space="0"/>
              <w:bottom w:val="single" w:color="808080" w:sz="6" w:space="0"/>
              <w:right w:val="single" w:color="808080" w:sz="6" w:space="0"/>
              <w:tl2br w:val="nil"/>
              <w:tr2bl w:val="nil"/>
            </w:tcBorders>
            <w:noWrap w:val="0"/>
            <w:tcMar>
              <w:left w:w="105" w:type="dxa"/>
              <w:right w:w="105"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肖峰《从底线伦理到担当精神：当代青年的网络文明意识》</w:t>
            </w:r>
          </w:p>
        </w:tc>
        <w:tc>
          <w:tcPr>
            <w:tcW w:w="95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政论时评</w:t>
            </w:r>
          </w:p>
        </w:tc>
        <w:tc>
          <w:tcPr>
            <w:tcW w:w="123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连续文本</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（网络文明意识）</w:t>
            </w:r>
          </w:p>
        </w:tc>
        <w:tc>
          <w:tcPr>
            <w:tcW w:w="515"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1572</w:t>
            </w:r>
          </w:p>
        </w:tc>
        <w:tc>
          <w:tcPr>
            <w:tcW w:w="909"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3客观+</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2主观</w:t>
            </w:r>
          </w:p>
        </w:tc>
        <w:tc>
          <w:tcPr>
            <w:tcW w:w="1777"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信息的理解分析、评价推断、迁移运用，论证结构分析</w:t>
            </w:r>
          </w:p>
        </w:tc>
        <w:tc>
          <w:tcPr>
            <w:tcW w:w="484"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17</w:t>
            </w:r>
          </w:p>
        </w:tc>
      </w:tr>
      <w:tr>
        <w:tblPrEx>
          <w:tblBorders>
            <w:top w:val="single" w:color="4C4C4C" w:sz="6"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810"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2020·新高考全国Ⅰ卷</w:t>
            </w:r>
          </w:p>
        </w:tc>
        <w:tc>
          <w:tcPr>
            <w:tcW w:w="2935" w:type="dxa"/>
            <w:tcBorders>
              <w:top w:val="single" w:color="808080" w:sz="6" w:space="0"/>
              <w:left w:val="single" w:color="808080" w:sz="6" w:space="0"/>
              <w:bottom w:val="single" w:color="808080" w:sz="6" w:space="0"/>
              <w:right w:val="single" w:color="808080" w:sz="6" w:space="0"/>
              <w:tl2br w:val="nil"/>
              <w:tr2bl w:val="nil"/>
            </w:tcBorders>
            <w:noWrap w:val="0"/>
            <w:tcMar>
              <w:left w:w="105" w:type="dxa"/>
              <w:right w:w="105"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葛剑雄《中国历史地理学的发展基础和前景》（材料一</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刘盛佳《历史地理学的研究对象》（材料二</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c>
          <w:tcPr>
            <w:tcW w:w="95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学术论文</w:t>
            </w:r>
          </w:p>
        </w:tc>
        <w:tc>
          <w:tcPr>
            <w:tcW w:w="123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非连续</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文本</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（历史地理学）</w:t>
            </w:r>
          </w:p>
        </w:tc>
        <w:tc>
          <w:tcPr>
            <w:tcW w:w="515"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1848</w:t>
            </w:r>
          </w:p>
        </w:tc>
        <w:tc>
          <w:tcPr>
            <w:tcW w:w="909"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3客观+</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2主观</w:t>
            </w:r>
          </w:p>
        </w:tc>
        <w:tc>
          <w:tcPr>
            <w:tcW w:w="1777"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信息的理解分析、评价推断、概括整合、概念理解，行文脉络梳理</w:t>
            </w:r>
          </w:p>
        </w:tc>
        <w:tc>
          <w:tcPr>
            <w:tcW w:w="484"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19</w:t>
            </w:r>
          </w:p>
        </w:tc>
      </w:tr>
      <w:tr>
        <w:tblPrEx>
          <w:tblBorders>
            <w:top w:val="single" w:color="4C4C4C" w:sz="6"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jc w:val="center"/>
        </w:trPr>
        <w:tc>
          <w:tcPr>
            <w:tcW w:w="810"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黑体" w:hAnsi="黑体" w:eastAsia="黑体" w:cs="黑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2020·新高考全国Ⅱ卷</w:t>
            </w:r>
          </w:p>
        </w:tc>
        <w:tc>
          <w:tcPr>
            <w:tcW w:w="2935" w:type="dxa"/>
            <w:tcBorders>
              <w:top w:val="single" w:color="808080" w:sz="6" w:space="0"/>
              <w:left w:val="single" w:color="808080" w:sz="6" w:space="0"/>
              <w:bottom w:val="single" w:color="808080" w:sz="6" w:space="0"/>
              <w:right w:val="single" w:color="808080" w:sz="6" w:space="0"/>
              <w:tl2br w:val="nil"/>
              <w:tr2bl w:val="nil"/>
            </w:tcBorders>
            <w:noWrap w:val="0"/>
            <w:tcMar>
              <w:left w:w="105" w:type="dxa"/>
              <w:right w:w="105"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埃德·扬《我包罗万象》</w:t>
            </w:r>
          </w:p>
        </w:tc>
        <w:tc>
          <w:tcPr>
            <w:tcW w:w="95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科普论文</w:t>
            </w:r>
          </w:p>
        </w:tc>
        <w:tc>
          <w:tcPr>
            <w:tcW w:w="1231"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连续文本</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14:textFill>
                  <w14:solidFill>
                    <w14:schemeClr w14:val="tx1"/>
                  </w14:solidFill>
                </w14:textFill>
              </w:rPr>
              <w:t>微生物</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c>
          <w:tcPr>
            <w:tcW w:w="515"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1548</w:t>
            </w:r>
          </w:p>
        </w:tc>
        <w:tc>
          <w:tcPr>
            <w:tcW w:w="909"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4客观+</w:t>
            </w:r>
          </w:p>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1主观</w:t>
            </w:r>
          </w:p>
        </w:tc>
        <w:tc>
          <w:tcPr>
            <w:tcW w:w="1777"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overflowPunct w:val="0"/>
              <w:topLinePunct w:val="0"/>
              <w:autoSpaceDE/>
              <w:autoSpaceDN/>
              <w:bidi w:val="0"/>
              <w:adjustRightInd/>
              <w:snapToGrid w:val="0"/>
              <w:spacing w:beforeAutospacing="0" w:afterAutospacing="0" w:line="360" w:lineRule="exact"/>
              <w:ind w:left="0" w:leftChars="0" w:right="0" w:rightChars="0" w:firstLine="0" w:firstLineChars="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信息的理解分析、评价推断、迁移运用，句子作用理解</w:t>
            </w:r>
          </w:p>
        </w:tc>
        <w:tc>
          <w:tcPr>
            <w:tcW w:w="484" w:type="dxa"/>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17</w:t>
            </w:r>
          </w:p>
        </w:tc>
      </w:tr>
    </w:tbl>
    <w:p>
      <w:pPr>
        <w:keepNext w:val="0"/>
        <w:keepLines w:val="0"/>
        <w:pageBreakBefore w:val="0"/>
        <w:widowControl w:val="0"/>
        <w:kinsoku/>
        <w:wordWrap/>
        <w:topLinePunct w:val="0"/>
        <w:autoSpaceDE/>
        <w:autoSpaceDN/>
        <w:bidi w:val="0"/>
        <w:adjustRightInd/>
        <w:spacing w:beforeAutospacing="0" w:afterAutospacing="0" w:line="360" w:lineRule="exact"/>
        <w:ind w:left="0" w:leftChars="0" w:right="0" w:rightChars="0" w:firstLine="0" w:firstLineChars="0"/>
        <w:jc w:val="left"/>
        <w:textAlignment w:val="auto"/>
        <w:rPr>
          <w:rFonts w:hint="eastAsia" w:ascii="宋体" w:hAnsi="宋体" w:eastAsia="宋体" w:cs="宋体"/>
          <w:b/>
          <w:bCs/>
          <w:color w:val="000000" w:themeColor="text1"/>
          <w:sz w:val="22"/>
          <w:szCs w:val="22"/>
          <w:highlight w:val="none"/>
          <w:lang w:eastAsia="zh-CN"/>
          <w14:textFill>
            <w14:solidFill>
              <w14:schemeClr w14:val="tx1"/>
            </w14:solidFill>
          </w14:textFill>
        </w:rPr>
      </w:pP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考情分析</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①形式上,有组合式非连续文本和独立成篇的连续文本两种形式。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②文体上,有学术论著、读后感、论文、科普等。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③题材上,涉及中国传统文化的转化和创新、美学的不同表现形式、社会生活现象、历史地理学、生物科普等。</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ind w:left="0" w:leftChars="0" w:right="0" w:rightChars="0" w:firstLine="440" w:firstLineChars="200"/>
        <w:jc w:val="both"/>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④从题目分数的分布来看,客观题题量和难度较为固定,两套新高考全国卷现代文阅读Ⅰ总分呈现出17分/19分的规律,也就是主观题是4+4/4+6的模式。分数的变化也意味着难易度的变化</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ind w:left="0" w:leftChars="0" w:right="0" w:rightChars="0" w:firstLine="440" w:firstLineChars="200"/>
        <w:jc w:val="both"/>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对还没有考查的点和高频热点再次强调</w:t>
      </w:r>
    </w:p>
    <w:p>
      <w:pPr>
        <w:keepNext w:val="0"/>
        <w:keepLines w:val="0"/>
        <w:pageBreakBefore w:val="0"/>
        <w:widowControl w:val="0"/>
        <w:kinsoku/>
        <w:wordWrap/>
        <w:overflowPunct/>
        <w:topLinePunct w:val="0"/>
        <w:autoSpaceDE/>
        <w:autoSpaceDN/>
        <w:bidi w:val="0"/>
        <w:adjustRightInd w:val="0"/>
        <w:snapToGrid w:val="0"/>
        <w:spacing w:before="157" w:beforeLines="50" w:beforeAutospacing="0" w:after="157" w:afterLines="50" w:afterAutospacing="0" w:line="360" w:lineRule="exact"/>
        <w:ind w:left="0" w:leftChars="0" w:right="0" w:rightChars="0" w:firstLine="0" w:firstLineChars="0"/>
        <w:jc w:val="left"/>
        <w:textAlignment w:val="auto"/>
        <w:rPr>
          <w:rFonts w:hint="eastAsia" w:ascii="黑体" w:hAnsi="黑体" w:eastAsia="黑体" w:cs="黑体"/>
          <w:b/>
          <w:bCs/>
          <w:color w:val="000000" w:themeColor="text1"/>
          <w:sz w:val="26"/>
          <w:szCs w:val="26"/>
          <w:highlight w:val="yellow"/>
          <w:lang w:val="en-US" w:eastAsia="zh-CN"/>
          <w14:textFill>
            <w14:solidFill>
              <w14:schemeClr w14:val="tx1"/>
            </w14:solidFill>
          </w14:textFill>
        </w:rPr>
      </w:pPr>
      <w:r>
        <w:rPr>
          <w:rFonts w:hint="eastAsia" w:ascii="黑体" w:hAnsi="黑体" w:eastAsia="黑体" w:cs="黑体"/>
          <w:b/>
          <w:bCs/>
          <w:color w:val="000000" w:themeColor="text1"/>
          <w:sz w:val="26"/>
          <w:szCs w:val="26"/>
          <w:highlight w:val="yellow"/>
          <w:lang w:val="en-US" w:eastAsia="zh-CN"/>
          <w14:textFill>
            <w14:solidFill>
              <w14:schemeClr w14:val="tx1"/>
            </w14:solidFill>
          </w14:textFill>
        </w:rPr>
        <w:t>【突破·核心题点】</w:t>
      </w:r>
    </w:p>
    <w:p>
      <w:pPr>
        <w:keepLines w:val="0"/>
        <w:pageBreakBefore w:val="0"/>
        <w:kinsoku/>
        <w:topLinePunct w:val="0"/>
        <w:bidi w:val="0"/>
        <w:spacing w:line="360" w:lineRule="exact"/>
        <w:ind w:firstLine="0" w:firstLineChars="0"/>
        <w:rPr>
          <w:rFonts w:hint="eastAsia" w:ascii="黑体" w:hAnsi="黑体" w:eastAsia="黑体" w:cs="黑体"/>
          <w:b w:val="0"/>
          <w:bCs w:val="0"/>
          <w:color w:val="000000" w:themeColor="text1"/>
          <w:sz w:val="26"/>
          <w:szCs w:val="26"/>
          <w:highlight w:val="none"/>
          <w14:textFill>
            <w14:solidFill>
              <w14:schemeClr w14:val="tx1"/>
            </w14:solidFill>
          </w14:textFill>
        </w:rPr>
      </w:pPr>
      <w:r>
        <w:rPr>
          <w:rFonts w:hint="eastAsia" w:ascii="黑体" w:hAnsi="黑体" w:eastAsia="黑体" w:cs="黑体"/>
          <w:b w:val="0"/>
          <w:bCs w:val="0"/>
          <w:color w:val="000000" w:themeColor="text1"/>
          <w:sz w:val="26"/>
          <w:szCs w:val="26"/>
          <w:highlight w:val="none"/>
          <w:lang w:val="en-US" w:eastAsia="zh-CN"/>
          <w14:textFill>
            <w14:solidFill>
              <w14:schemeClr w14:val="tx1"/>
            </w14:solidFill>
          </w14:textFill>
        </w:rPr>
        <w:t>题点一、客观题</w:t>
      </w:r>
    </w:p>
    <w:p>
      <w:pPr>
        <w:keepLines w:val="0"/>
        <w:pageBreakBefore w:val="0"/>
        <w:kinsoku/>
        <w:topLinePunct w:val="0"/>
        <w:bidi w:val="0"/>
        <w:spacing w:line="360" w:lineRule="exact"/>
        <w:ind w:firstLine="0" w:firstLineChars="0"/>
        <w:rPr>
          <w:rFonts w:hint="eastAsia" w:ascii="黑体" w:hAnsi="黑体" w:eastAsia="黑体" w:cs="黑体"/>
          <w:b w:val="0"/>
          <w:bCs w:val="0"/>
          <w:color w:val="000000" w:themeColor="text1"/>
          <w:sz w:val="26"/>
          <w:szCs w:val="26"/>
          <w:highlight w:val="none"/>
          <w:lang w:val="en-US" w:eastAsia="zh-CN"/>
          <w14:textFill>
            <w14:solidFill>
              <w14:schemeClr w14:val="tx1"/>
            </w14:solidFill>
          </w14:textFill>
        </w:rPr>
      </w:pPr>
      <w:r>
        <w:rPr>
          <w:rFonts w:hint="eastAsia" w:ascii="黑体" w:hAnsi="黑体" w:eastAsia="黑体" w:cs="黑体"/>
          <w:b w:val="0"/>
          <w:bCs w:val="0"/>
          <w:color w:val="000000" w:themeColor="text1"/>
          <w:sz w:val="26"/>
          <w:szCs w:val="26"/>
          <w:highlight w:val="none"/>
          <w:lang w:val="en-US" w:eastAsia="zh-CN"/>
          <w14:textFill>
            <w14:solidFill>
              <w14:schemeClr w14:val="tx1"/>
            </w14:solidFill>
          </w14:textFill>
        </w:rPr>
        <w:t>（一）掌握两类选择题的答题方法</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黑体" w:hAnsi="黑体" w:eastAsia="黑体" w:cs="黑体"/>
          <w:b w:val="0"/>
          <w:bCs w:val="0"/>
          <w:color w:val="000000" w:themeColor="text1"/>
          <w:sz w:val="22"/>
          <w:szCs w:val="22"/>
          <w:highlight w:val="none"/>
          <w14:textFill>
            <w14:solidFill>
              <w14:schemeClr w14:val="tx1"/>
            </w14:solidFill>
          </w14:textFill>
        </w:rPr>
        <w:t>1．理解、分析类选择题——理解性比对</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其设误方式同其他现代文选择题的设误方式基本相同，都是从张冠李戴、无中生有、曲解文意、以</w:t>
      </w:r>
      <w:r>
        <w:rPr>
          <w:rFonts w:hint="eastAsia" w:ascii="宋体" w:hAnsi="宋体" w:eastAsia="宋体" w:cs="宋体"/>
          <w:b w:val="0"/>
          <w:bCs w:val="0"/>
          <w:color w:val="000000" w:themeColor="text1"/>
          <w:spacing w:val="-11"/>
          <w:sz w:val="22"/>
          <w:szCs w:val="22"/>
          <w:highlight w:val="none"/>
          <w14:textFill>
            <w14:solidFill>
              <w14:schemeClr w14:val="tx1"/>
            </w14:solidFill>
          </w14:textFill>
        </w:rPr>
        <w:t>偏概全、混淆时态、因果混乱、说法绝对等角度设下陷阱，解题方法都可以通用比对法，理解性比对。</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jc w:val="both"/>
        <w:textAlignment w:val="auto"/>
        <w:rPr>
          <w:rFonts w:hint="eastAsia" w:ascii="黑体" w:hAnsi="黑体" w:eastAsia="黑体" w:cs="黑体"/>
          <w:b w:val="0"/>
          <w:bCs w:val="0"/>
          <w:color w:val="000000" w:themeColor="text1"/>
          <w:sz w:val="22"/>
          <w:szCs w:val="22"/>
          <w:highlight w:val="none"/>
          <w:lang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lang w:eastAsia="zh-CN"/>
          <w14:textFill>
            <w14:solidFill>
              <w14:schemeClr w14:val="tx1"/>
            </w14:solidFill>
          </w14:textFill>
        </w:rPr>
        <w:t>2．信息推断类选择题——立足文本，依托逻辑</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推断，就是由已知的判断</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14:textFill>
            <w14:solidFill>
              <w14:schemeClr w14:val="tx1"/>
            </w14:solidFill>
          </w14:textFill>
        </w:rPr>
        <w:t>前提</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14:textFill>
            <w14:solidFill>
              <w14:schemeClr w14:val="tx1"/>
            </w14:solidFill>
          </w14:textFill>
        </w:rPr>
        <w:t>合乎逻辑地推断出一个新的判断</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14:textFill>
            <w14:solidFill>
              <w14:schemeClr w14:val="tx1"/>
            </w14:solidFill>
          </w14:textFill>
        </w:rPr>
        <w:t>结论</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14:textFill>
            <w14:solidFill>
              <w14:schemeClr w14:val="tx1"/>
            </w14:solidFill>
          </w14:textFill>
        </w:rPr>
        <w:t>。其“前提”在原文之中，结论则在原文之外。推断题的每个选项，大致由前提、结论及联结两者的关联词语组成，要判断选项正误，就要做到“三看”，看其前提是否有据，看其过程是否符合逻辑，看其结论是否合理。</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1</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看推断前提是否有据</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分析推断前提是否有据，就是分析前提是否合乎文本内容，也就是作为推断的依据与原文内容是否一致。</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2</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看推断过程是否符合逻辑</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推断过程就是由前提到结论的过程，分析推断过程是否符合逻辑，就是分析假设推断、条件推断、因果推断、目的推断等逻辑关系是否合理。选项一般以假设、条件、因果、目的等复句形式呈现。</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3</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看推断结论是否合理</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推断结论是根据文中已有信息，要求考生在理解文意的基础上进行以此推彼、以已知推未知、以现在推未来、以整体推局部以及因果互推等。</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2" w:firstLineChars="200"/>
        <w:jc w:val="left"/>
        <w:textAlignment w:val="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解答推断题</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的</w:t>
      </w:r>
      <w:r>
        <w:rPr>
          <w:rFonts w:hint="eastAsia" w:ascii="宋体" w:hAnsi="宋体" w:eastAsia="宋体" w:cs="宋体"/>
          <w:b/>
          <w:bCs/>
          <w:color w:val="000000" w:themeColor="text1"/>
          <w:sz w:val="22"/>
          <w:szCs w:val="22"/>
          <w:highlight w:val="none"/>
          <w14:textFill>
            <w14:solidFill>
              <w14:schemeClr w14:val="tx1"/>
            </w14:solidFill>
          </w14:textFill>
        </w:rPr>
        <w:t>三要点</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第一，对文章整体内容要全面理解，对基本信息要准确提炼。把握全文的观点态度，筛选出文中的重要信息，注意不同观点之间的区别及作者对它们的看法。</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第二，仔细分析研究选项中的推断关系是否成立。对文章内容进行推断不是简单的信息筛选，而是一种推理。有时选项中虽然也引用文本中的某些词句进行表述，但命题点不是侧重于表述是否符合文意，而是侧重于思考，侧重于由原文能否推断出某一方面的新的认知或结论。因此，仅仅采用把选项与文章中某一语言单位</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14:textFill>
            <w14:solidFill>
              <w14:schemeClr w14:val="tx1"/>
            </w14:solidFill>
          </w14:textFill>
        </w:rPr>
        <w:t>句子、词语等</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r>
        <w:rPr>
          <w:rFonts w:hint="eastAsia" w:ascii="宋体" w:hAnsi="宋体" w:eastAsia="宋体" w:cs="宋体"/>
          <w:b w:val="0"/>
          <w:bCs w:val="0"/>
          <w:color w:val="000000" w:themeColor="text1"/>
          <w:sz w:val="22"/>
          <w:szCs w:val="22"/>
          <w:highlight w:val="none"/>
          <w14:textFill>
            <w14:solidFill>
              <w14:schemeClr w14:val="tx1"/>
            </w14:solidFill>
          </w14:textFill>
        </w:rPr>
        <w:t>进行简单比照的方式，无法保证推断的正确，还要考虑推断的合理性，以及推断的倾向性与作者的思想倾向、表达意图等是否一致。</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第三，重点挖掘文本材料中的隐含信息，深究细节，化隐为显，明辨“是”“非”。在文本中，作者对某一方面的认知或结论，虽然没有直接、显性地表述出来，但总会有一定的暗示，解题中要善于捕捉和利用这些暗示。要细致体会作者在某一问题上的思想倾向和观点态度，细致体会作者在文章中借用了哪方面的材料来论证观点；要注意观点间的异同及作者的看法。当命题者对某一问题变换了表述角度时，要注意因角度的变换，结论也可能会出现相应的变化。</w:t>
      </w:r>
    </w:p>
    <w:p>
      <w:pPr>
        <w:pStyle w:val="6"/>
        <w:keepNext w:val="0"/>
        <w:keepLines w:val="0"/>
        <w:pageBreakBefore w:val="0"/>
        <w:widowControl w:val="0"/>
        <w:tabs>
          <w:tab w:val="left" w:pos="3402"/>
        </w:tabs>
        <w:kinsoku/>
        <w:wordWrap/>
        <w:overflowPunct/>
        <w:topLinePunct w:val="0"/>
        <w:autoSpaceDE/>
        <w:autoSpaceDN/>
        <w:bidi w:val="0"/>
        <w:adjustRightInd/>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89535</wp:posOffset>
            </wp:positionH>
            <wp:positionV relativeFrom="paragraph">
              <wp:posOffset>315595</wp:posOffset>
            </wp:positionV>
            <wp:extent cx="5895975" cy="4524375"/>
            <wp:effectExtent l="0" t="0" r="9525" b="9525"/>
            <wp:wrapTopAndBottom/>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4"/>
                    <a:stretch>
                      <a:fillRect/>
                    </a:stretch>
                  </pic:blipFill>
                  <pic:spPr>
                    <a:xfrm>
                      <a:off x="0" y="0"/>
                      <a:ext cx="5895975" cy="4524375"/>
                    </a:xfrm>
                    <a:prstGeom prst="rect">
                      <a:avLst/>
                    </a:prstGeom>
                  </pic:spPr>
                </pic:pic>
              </a:graphicData>
            </a:graphic>
          </wp:anchor>
        </w:drawing>
      </w:r>
      <w:r>
        <w:rPr>
          <w:rFonts w:hint="eastAsia" w:ascii="黑体" w:hAnsi="黑体" w:eastAsia="黑体" w:cs="黑体"/>
          <w:b w:val="0"/>
          <w:bCs w:val="0"/>
          <w:color w:val="000000" w:themeColor="text1"/>
          <w:sz w:val="22"/>
          <w:szCs w:val="22"/>
          <w:highlight w:val="none"/>
          <w:lang w:val="en-US" w:eastAsia="zh-CN"/>
          <w14:textFill>
            <w14:solidFill>
              <w14:schemeClr w14:val="tx1"/>
            </w14:solidFill>
          </w14:textFill>
        </w:rPr>
        <w:t>3.常见命题设误</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（1）</w:t>
      </w:r>
      <w:r>
        <w:rPr>
          <w:rFonts w:hint="eastAsia" w:ascii="宋体" w:hAnsi="宋体" w:eastAsia="宋体" w:cs="宋体"/>
          <w:b/>
          <w:bCs/>
          <w:color w:val="000000" w:themeColor="text1"/>
          <w:sz w:val="22"/>
          <w:szCs w:val="22"/>
          <w:highlight w:val="none"/>
          <w14:textFill>
            <w14:solidFill>
              <w14:schemeClr w14:val="tx1"/>
            </w14:solidFill>
          </w14:textFill>
        </w:rPr>
        <w:t>以偏概全</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[辨析标识]常出现表范围的词，如“所有、全部、都、全、一些、极少、部分、相关、必须、一定、严重、非常、可能、似乎”等。</w:t>
      </w:r>
    </w:p>
    <w:p>
      <w:pPr>
        <w:pStyle w:val="11"/>
        <w:keepNext w:val="0"/>
        <w:keepLines w:val="0"/>
        <w:pageBreakBefore w:val="0"/>
        <w:widowControl w:val="0"/>
        <w:tabs>
          <w:tab w:val="left" w:pos="297"/>
        </w:tabs>
        <w:kinsoku/>
        <w:wordWrap/>
        <w:overflowPunct/>
        <w:topLinePunct w:val="0"/>
        <w:bidi w:val="0"/>
        <w:spacing w:beforeAutospacing="0" w:afterAutospacing="0" w:line="360" w:lineRule="exact"/>
        <w:ind w:left="0" w:leftChars="0" w:right="0" w:rightChars="0" w:firstLine="440" w:firstLineChars="200"/>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楷体" w:hAnsi="楷体" w:eastAsia="楷体" w:cs="楷体"/>
          <w:b w:val="0"/>
          <w:bCs w:val="0"/>
          <w:color w:val="000000" w:themeColor="text1"/>
          <w:sz w:val="22"/>
          <w:szCs w:val="22"/>
          <w:highlight w:val="none"/>
          <w:lang w:val="en-US" w:eastAsia="zh-CN"/>
          <w14:textFill>
            <w14:solidFill>
              <w14:schemeClr w14:val="tx1"/>
            </w14:solidFill>
          </w14:textFill>
        </w:rPr>
        <w:t>（2023</w:t>
      </w:r>
      <w:r>
        <w:rPr>
          <w:rFonts w:hint="eastAsia" w:ascii="楷体" w:hAnsi="楷体" w:eastAsia="楷体" w:cs="楷体"/>
          <w:b w:val="0"/>
          <w:bCs w:val="0"/>
          <w:color w:val="000000" w:themeColor="text1"/>
          <w:sz w:val="22"/>
          <w:szCs w:val="22"/>
          <w:highlight w:val="none"/>
          <w14:textFill>
            <w14:solidFill>
              <w14:schemeClr w14:val="tx1"/>
            </w14:solidFill>
          </w14:textFill>
        </w:rPr>
        <w:t>∙</w:t>
      </w:r>
      <w:r>
        <w:rPr>
          <w:rFonts w:hint="eastAsia" w:ascii="楷体" w:hAnsi="楷体" w:eastAsia="楷体" w:cs="楷体"/>
          <w:b w:val="0"/>
          <w:bCs w:val="0"/>
          <w:color w:val="000000" w:themeColor="text1"/>
          <w:sz w:val="22"/>
          <w:szCs w:val="22"/>
          <w:highlight w:val="none"/>
          <w:lang w:val="en-US" w:eastAsia="zh-CN"/>
          <w14:textFill>
            <w14:solidFill>
              <w14:schemeClr w14:val="tx1"/>
            </w14:solidFill>
          </w14:textFill>
        </w:rPr>
        <w:t>四省联考）</w:t>
      </w:r>
      <w:r>
        <w:rPr>
          <w:rFonts w:hint="eastAsia" w:ascii="宋体" w:hAnsi="宋体" w:eastAsia="宋体" w:cs="宋体"/>
          <w:b w:val="0"/>
          <w:bCs w:val="0"/>
          <w:color w:val="000000" w:themeColor="text1"/>
          <w:sz w:val="22"/>
          <w:szCs w:val="22"/>
          <w:lang w:val="en-US" w:eastAsia="zh-CN"/>
          <w14:textFill>
            <w14:solidFill>
              <w14:schemeClr w14:val="tx1"/>
            </w14:solidFill>
          </w14:textFill>
        </w:rPr>
        <w:t>下列对材料相关内容的理解和分析，不正确的一项是（3分）D</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A．“洪荒之力”在文中是指印度板块与欧亚板块相撞后产生的巨大能量。</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B．“意外”在文中是指青藏高原的地形给中国的气候带来的一系列影响。</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C．“超级水塔”的“超级”体现在水资源的数量、覆盖面积和海拔方面。</w:t>
      </w:r>
    </w:p>
    <w:p>
      <w:pPr>
        <w:keepNext w:val="0"/>
        <w:keepLines w:val="0"/>
        <w:pageBreakBefore w:val="0"/>
        <w:widowControl w:val="0"/>
        <w:kinsoku/>
        <w:wordWrap/>
        <w:overflowPunct w:val="0"/>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D．“北极动物”在文中指的是起源于青藏高原的动物。</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yellow"/>
          <w:lang w:val="en-US" w:eastAsia="zh-CN"/>
          <w14:textFill>
            <w14:solidFill>
              <w14:schemeClr w14:val="tx1"/>
            </w14:solidFill>
          </w14:textFill>
        </w:rPr>
      </w:pPr>
      <w:r>
        <w:rPr>
          <w:rFonts w:hint="eastAsia" w:ascii="黑体" w:hAnsi="黑体" w:eastAsia="黑体" w:cs="黑体"/>
          <w:b w:val="0"/>
          <w:bCs w:val="0"/>
          <w:i w:val="0"/>
          <w:color w:val="000000" w:themeColor="text1"/>
          <w:sz w:val="22"/>
          <w:szCs w:val="22"/>
          <w:u w:val="none"/>
          <w:lang w:eastAsia="zh-CN"/>
          <w14:textFill>
            <w14:solidFill>
              <w14:schemeClr w14:val="tx1"/>
            </w14:solidFill>
          </w14:textFill>
        </w:rPr>
        <w:t>【解析】</w:t>
      </w:r>
      <w:r>
        <w:rPr>
          <w:rFonts w:hint="eastAsia" w:ascii="仿宋" w:hAnsi="仿宋" w:eastAsia="仿宋" w:cs="仿宋"/>
          <w:b w:val="0"/>
          <w:bCs w:val="0"/>
          <w:i w:val="0"/>
          <w:color w:val="000000" w:themeColor="text1"/>
          <w:sz w:val="22"/>
          <w:szCs w:val="22"/>
          <w:u w:val="none"/>
          <w:lang w:eastAsia="zh-CN"/>
          <w14:textFill>
            <w14:solidFill>
              <w14:schemeClr w14:val="tx1"/>
            </w14:solidFill>
          </w14:textFill>
        </w:rPr>
        <w:t>答案：D  文中提到“许多北极动物同样起源于青藏高原”，意思是说许多北极动物和豹亚科一样，都是起源于青藏高原，而D项“北极动物是指起源于青藏高原的动物”的表述错在忽略了“许多”这一限制性词语，因为不是所有北极动物都是起源于青藏高原的动物，以偏概全。</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（2）</w:t>
      </w:r>
      <w:r>
        <w:rPr>
          <w:rFonts w:hint="eastAsia" w:ascii="宋体" w:hAnsi="宋体" w:eastAsia="宋体" w:cs="宋体"/>
          <w:b/>
          <w:bCs/>
          <w:color w:val="000000" w:themeColor="text1"/>
          <w:sz w:val="22"/>
          <w:szCs w:val="22"/>
          <w:highlight w:val="none"/>
          <w14:textFill>
            <w14:solidFill>
              <w14:schemeClr w14:val="tx1"/>
            </w14:solidFill>
          </w14:textFill>
        </w:rPr>
        <w:t xml:space="preserve">张冠李戴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pacing w:val="-1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[辨</w:t>
      </w:r>
      <w:r>
        <w:rPr>
          <w:rFonts w:hint="eastAsia" w:ascii="宋体" w:hAnsi="宋体" w:eastAsia="宋体" w:cs="宋体"/>
          <w:b w:val="0"/>
          <w:bCs w:val="0"/>
          <w:color w:val="000000" w:themeColor="text1"/>
          <w:spacing w:val="-11"/>
          <w:sz w:val="22"/>
          <w:szCs w:val="22"/>
          <w:highlight w:val="none"/>
          <w14:textFill>
            <w14:solidFill>
              <w14:schemeClr w14:val="tx1"/>
            </w14:solidFill>
          </w14:textFill>
        </w:rPr>
        <w:t>析标识]常出现一些代词，如“之、其、此、这、那”等；一些连词，如“或、和、及、除”等。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both"/>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（2023∙福建省高三毕业班第一次质量检测）</w:t>
      </w:r>
      <w:r>
        <w:rPr>
          <w:rFonts w:hint="eastAsia" w:ascii="宋体" w:hAnsi="宋体" w:eastAsia="宋体" w:cs="宋体"/>
          <w:b w:val="0"/>
          <w:bCs w:val="0"/>
          <w:color w:val="000000" w:themeColor="text1"/>
          <w:sz w:val="22"/>
          <w:szCs w:val="22"/>
          <w14:textFill>
            <w14:solidFill>
              <w14:schemeClr w14:val="tx1"/>
            </w14:solidFill>
          </w14:textFill>
        </w:rPr>
        <w:t>根据材料一、材料二的内容，下列说法正确的一项是</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14:textFill>
            <w14:solidFill>
              <w14:schemeClr w14:val="tx1"/>
            </w14:solidFill>
          </w14:textFill>
        </w:rPr>
        <w:t>3分</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D</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A.文学典型因其是一种规范和高不可及的范本，并且富于永恒的艺术魅力，而成为马克思主义典型观的应有之义。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B.材料一认为林黛玉敢于向封建礼教的规范反抗的叛逆行为，增添了其命运的悲剧色彩，更显出其生命的张力。</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C.作家在文学作品中塑造的人物形象如果偏重类型化，性格单一化，就不能符合典型人物的特点，也不会具有艺术魅力。</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D.成功地塑造出典型人物，时代精神自然可以通过典型人物艺术地、审美地传达出来，也就避免了枯燥的说教式传达。</w:t>
      </w:r>
    </w:p>
    <w:p>
      <w:pPr>
        <w:pStyle w:val="4"/>
        <w:keepNext w:val="0"/>
        <w:keepLines w:val="0"/>
        <w:pageBreakBefore w:val="0"/>
        <w:widowControl w:val="0"/>
        <w:kinsoku/>
        <w:wordWrap/>
        <w:topLinePunct w:val="0"/>
        <w:bidi w:val="0"/>
        <w:spacing w:beforeAutospacing="0" w:afterAutospacing="0" w:line="360" w:lineRule="exact"/>
        <w:ind w:left="0" w:leftChars="0" w:right="0" w:rightChars="0" w:firstLine="440" w:firstLineChars="200"/>
        <w:rPr>
          <w:rFonts w:hint="eastAsia" w:ascii="仿宋" w:hAnsi="仿宋" w:eastAsia="仿宋" w:cs="仿宋"/>
          <w:b w:val="0"/>
          <w:bCs w:val="0"/>
          <w:i w:val="0"/>
          <w:color w:val="000000" w:themeColor="text1"/>
          <w:sz w:val="22"/>
          <w:szCs w:val="22"/>
          <w:u w:val="none"/>
          <w:vertAlign w:val="baseline"/>
          <w:lang w:eastAsia="zh-CN"/>
          <w14:textFill>
            <w14:solidFill>
              <w14:schemeClr w14:val="tx1"/>
            </w14:solidFill>
          </w14:textFill>
        </w:rPr>
      </w:pPr>
      <w:r>
        <w:rPr>
          <w:rFonts w:hint="eastAsia" w:ascii="黑体" w:hAnsi="黑体" w:eastAsia="黑体" w:cs="黑体"/>
          <w:b w:val="0"/>
          <w:bCs w:val="0"/>
          <w:i w:val="0"/>
          <w:color w:val="000000" w:themeColor="text1"/>
          <w:sz w:val="22"/>
          <w:szCs w:val="22"/>
          <w:u w:val="none"/>
          <w:vertAlign w:val="baseline"/>
          <w:lang w:eastAsia="zh-CN"/>
          <w14:textFill>
            <w14:solidFill>
              <w14:schemeClr w14:val="tx1"/>
            </w14:solidFill>
          </w14:textFill>
        </w:rPr>
        <w:t>【解析】</w:t>
      </w:r>
      <w:r>
        <w:rPr>
          <w:rFonts w:hint="eastAsia" w:ascii="仿宋" w:hAnsi="仿宋" w:eastAsia="仿宋" w:cs="仿宋"/>
          <w:b w:val="0"/>
          <w:bCs w:val="0"/>
          <w:i w:val="0"/>
          <w:color w:val="000000" w:themeColor="text1"/>
          <w:sz w:val="22"/>
          <w:szCs w:val="22"/>
          <w:u w:val="none"/>
          <w:vertAlign w:val="baseline"/>
          <w:lang w:eastAsia="zh-CN"/>
          <w14:textFill>
            <w14:solidFill>
              <w14:schemeClr w14:val="tx1"/>
            </w14:solidFill>
          </w14:textFill>
        </w:rPr>
        <w:t>A项，张冠李戴，“一种规范和高不可及的范本”指的是希腊神话。</w:t>
      </w:r>
    </w:p>
    <w:p>
      <w:pPr>
        <w:pStyle w:val="4"/>
        <w:keepNext w:val="0"/>
        <w:keepLines w:val="0"/>
        <w:pageBreakBefore w:val="0"/>
        <w:widowControl w:val="0"/>
        <w:kinsoku/>
        <w:wordWrap/>
        <w:topLinePunct w:val="0"/>
        <w:bidi w:val="0"/>
        <w:spacing w:beforeAutospacing="0" w:afterAutospacing="0" w:line="360" w:lineRule="exact"/>
        <w:ind w:left="0" w:leftChars="0" w:right="0" w:rightChars="0" w:firstLine="440" w:firstLineChars="200"/>
        <w:rPr>
          <w:rFonts w:hint="eastAsia" w:ascii="仿宋" w:hAnsi="仿宋" w:eastAsia="仿宋" w:cs="仿宋"/>
          <w:color w:val="000000" w:themeColor="text1"/>
          <w:sz w:val="22"/>
          <w:szCs w:val="22"/>
          <w:lang w:val="en-US" w:eastAsia="zh-CN"/>
          <w14:textFill>
            <w14:solidFill>
              <w14:schemeClr w14:val="tx1"/>
            </w14:solidFill>
          </w14:textFill>
        </w:rPr>
      </w:pPr>
      <w:r>
        <w:rPr>
          <w:rFonts w:hint="eastAsia" w:ascii="仿宋" w:hAnsi="仿宋" w:eastAsia="仿宋" w:cs="仿宋"/>
          <w:b w:val="0"/>
          <w:bCs w:val="0"/>
          <w:i w:val="0"/>
          <w:color w:val="000000" w:themeColor="text1"/>
          <w:sz w:val="22"/>
          <w:szCs w:val="22"/>
          <w:u w:val="none"/>
          <w:vertAlign w:val="baseline"/>
          <w:lang w:val="en-US" w:eastAsia="zh-CN"/>
          <w14:textFill>
            <w14:solidFill>
              <w14:schemeClr w14:val="tx1"/>
            </w14:solidFill>
          </w14:textFill>
        </w:rPr>
        <w:t>原文：</w:t>
      </w:r>
      <w:r>
        <w:rPr>
          <w:rFonts w:hint="eastAsia" w:ascii="仿宋" w:hAnsi="仿宋" w:eastAsia="仿宋" w:cs="仿宋"/>
          <w:b w:val="0"/>
          <w:bCs w:val="0"/>
          <w:color w:val="000000" w:themeColor="text1"/>
          <w:kern w:val="2"/>
          <w:sz w:val="22"/>
          <w:szCs w:val="22"/>
          <w:lang w:val="en-US" w:eastAsia="zh-CN" w:bidi="ar-SA"/>
          <w14:textFill>
            <w14:solidFill>
              <w14:schemeClr w14:val="tx1"/>
            </w14:solidFill>
          </w14:textFill>
        </w:rPr>
        <w:t>马克思赞扬希腊神话时说，它们“仍然能够给我们以艺术享受【1A】，而且就某方面说还是一种规范和高不可及的范本”，因而“显示出永久的魅力”。显然，富于艺术魅力，也是马克思主义典型观的应有之义。</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（3）</w:t>
      </w:r>
      <w:r>
        <w:rPr>
          <w:rFonts w:hint="eastAsia" w:ascii="宋体" w:hAnsi="宋体" w:eastAsia="宋体" w:cs="宋体"/>
          <w:b/>
          <w:bCs/>
          <w:color w:val="000000" w:themeColor="text1"/>
          <w:sz w:val="22"/>
          <w:szCs w:val="22"/>
          <w:highlight w:val="none"/>
          <w14:textFill>
            <w14:solidFill>
              <w14:schemeClr w14:val="tx1"/>
            </w14:solidFill>
          </w14:textFill>
        </w:rPr>
        <w:t xml:space="preserve">夸大其词  </w:t>
      </w:r>
    </w:p>
    <w:p>
      <w:pPr>
        <w:pStyle w:val="12"/>
        <w:keepNext w:val="0"/>
        <w:keepLines w:val="0"/>
        <w:pageBreakBefore w:val="0"/>
        <w:widowControl w:val="0"/>
        <w:kinsoku/>
        <w:wordWrap/>
        <w:overflowPunct/>
        <w:topLinePunct w:val="0"/>
        <w:autoSpaceDE/>
        <w:autoSpaceDN/>
        <w:bidi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bidi="zh-TW"/>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[辨析标识]常出现一些表示程度或范围的词，如“唯一、极其、稍微、更加、分外、尤其”等。</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right="0" w:rightChars="0" w:firstLine="440" w:firstLineChars="200"/>
        <w:textAlignment w:val="auto"/>
        <w:rPr>
          <w:rFonts w:hint="eastAsia" w:ascii="宋体" w:hAnsi="宋体" w:eastAsia="宋体" w:cs="宋体"/>
          <w:b w:val="0"/>
          <w:bCs w:val="0"/>
          <w:color w:val="000000" w:themeColor="text1"/>
          <w:sz w:val="22"/>
          <w:szCs w:val="22"/>
          <w:highlight w:val="none"/>
          <w:lang w:bidi="zh-TW"/>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（2020∙新高考Ⅰ卷）</w:t>
      </w:r>
      <w:r>
        <w:rPr>
          <w:rFonts w:hint="eastAsia" w:ascii="宋体" w:hAnsi="宋体" w:eastAsia="宋体" w:cs="宋体"/>
          <w:b w:val="0"/>
          <w:bCs w:val="0"/>
          <w:color w:val="000000" w:themeColor="text1"/>
          <w:sz w:val="22"/>
          <w:szCs w:val="22"/>
          <w:highlight w:val="none"/>
          <w:lang w:bidi="zh-TW"/>
          <w14:textFill>
            <w14:solidFill>
              <w14:schemeClr w14:val="tx1"/>
            </w14:solidFill>
          </w14:textFill>
        </w:rPr>
        <w:t xml:space="preserve">C．改革开放以来，我国历史地理学的一些研究在国际上领先，主要得益于学科分支的开拓和研究领域的扩大。  </w:t>
      </w:r>
    </w:p>
    <w:p>
      <w:pPr>
        <w:keepNext w:val="0"/>
        <w:keepLines w:val="0"/>
        <w:pageBreakBefore w:val="0"/>
        <w:widowControl w:val="0"/>
        <w:kinsoku/>
        <w:wordWrap/>
        <w:overflowPunct/>
        <w:topLinePunct w:val="0"/>
        <w:bidi w:val="0"/>
        <w:adjustRightInd w:val="0"/>
        <w:snapToGrid w:val="0"/>
        <w:spacing w:beforeAutospacing="0" w:afterAutospacing="0" w:line="360" w:lineRule="exact"/>
        <w:ind w:left="0" w:leftChars="0" w:right="0" w:rightChars="0" w:firstLine="440" w:firstLineChars="200"/>
        <w:rPr>
          <w:rFonts w:hint="eastAsia" w:ascii="宋体" w:hAnsi="宋体" w:eastAsia="宋体" w:cs="宋体"/>
          <w:b w:val="0"/>
          <w:bCs w:val="0"/>
          <w:color w:val="000000" w:themeColor="text1"/>
          <w:sz w:val="22"/>
          <w:szCs w:val="22"/>
          <w:highlight w:val="none"/>
          <w:lang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原文</w:t>
      </w:r>
      <w:r>
        <w:rPr>
          <w:rFonts w:hint="eastAsia" w:ascii="宋体" w:hAnsi="宋体" w:eastAsia="宋体" w:cs="宋体"/>
          <w:b w:val="0"/>
          <w:bCs w:val="0"/>
          <w:color w:val="000000" w:themeColor="text1"/>
          <w:sz w:val="22"/>
          <w:szCs w:val="22"/>
          <w:highlight w:val="none"/>
          <w:lang w:bidi="zh-TW"/>
          <w14:textFill>
            <w14:solidFill>
              <w14:schemeClr w14:val="tx1"/>
            </w14:solidFill>
          </w14:textFill>
        </w:rPr>
        <w:t>：改革开放以来，我国的历史地理学者继承和发扬沿革地理注重文献考证的传统，充分运用地理学和相关学科的科学原理，引入先进的理论、方法和技术，不断开拓新的学科分支，扩大研究领域，在历史地图编绘、行政区划史、人口史、区域文化地理、环境变迁、历史地理文献研究和整理等方面都取得显著成绩，有的已居国际领先地位。</w:t>
      </w:r>
    </w:p>
    <w:p>
      <w:pPr>
        <w:pStyle w:val="13"/>
        <w:keepNext w:val="0"/>
        <w:keepLines w:val="0"/>
        <w:pageBreakBefore w:val="0"/>
        <w:widowControl w:val="0"/>
        <w:kinsoku/>
        <w:wordWrap/>
        <w:overflowPunct/>
        <w:topLinePunct w:val="0"/>
        <w:bidi w:val="0"/>
        <w:spacing w:before="0" w:beforeAutospacing="0" w:after="0" w:afterAutospacing="0" w:line="360" w:lineRule="exact"/>
        <w:ind w:left="0" w:leftChars="0" w:right="0" w:rightChars="0" w:firstLine="440" w:firstLineChars="200"/>
        <w:jc w:val="both"/>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pPr>
      <w:r>
        <w:rPr>
          <w:rFonts w:hint="eastAsia" w:ascii="黑体" w:hAnsi="黑体" w:eastAsia="黑体" w:cs="黑体"/>
          <w:b w:val="0"/>
          <w:bCs w:val="0"/>
          <w:color w:val="000000" w:themeColor="text1"/>
          <w:sz w:val="22"/>
          <w:szCs w:val="22"/>
          <w:highlight w:val="none"/>
          <w:lang w:val="en-US" w:eastAsia="zh-CN" w:bidi="zh-TW"/>
          <w14:textFill>
            <w14:solidFill>
              <w14:schemeClr w14:val="tx1"/>
            </w14:solidFill>
          </w14:textFill>
        </w:rPr>
        <w:t>【解析】</w:t>
      </w:r>
      <w:r>
        <w:rPr>
          <w:rFonts w:hint="eastAsia" w:ascii="仿宋" w:hAnsi="仿宋" w:eastAsia="仿宋" w:cs="仿宋"/>
          <w:b w:val="0"/>
          <w:bCs w:val="0"/>
          <w:color w:val="000000" w:themeColor="text1"/>
          <w:sz w:val="22"/>
          <w:szCs w:val="22"/>
          <w:highlight w:val="none"/>
          <w:lang w:val="en-US" w:eastAsia="zh-CN" w:bidi="zh-TW"/>
          <w14:textFill>
            <w14:solidFill>
              <w14:schemeClr w14:val="tx1"/>
            </w14:solidFill>
          </w14:textFill>
        </w:rPr>
        <w:t>由上述可知，我国历史地理学的一些研究居于国际领先地位的原因是多方面的，原文并没有说明哪个是主要原因。选项表述错误。</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（4）无中生有，于文无依据</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[辨析标识]常出现一些表示主观判断的词或句式。</w:t>
      </w:r>
    </w:p>
    <w:p>
      <w:pPr>
        <w:keepNext w:val="0"/>
        <w:keepLines w:val="0"/>
        <w:pageBreakBefore w:val="0"/>
        <w:widowControl w:val="0"/>
        <w:kinsoku/>
        <w:wordWrap/>
        <w:overflowPunct/>
        <w:topLinePunct w:val="0"/>
        <w:bidi w:val="0"/>
        <w:adjustRightInd w:val="0"/>
        <w:snapToGrid w:val="0"/>
        <w:spacing w:beforeAutospacing="0" w:afterAutospacing="0" w:line="360" w:lineRule="exact"/>
        <w:ind w:right="0" w:rightChars="0" w:firstLine="440" w:firstLineChars="200"/>
        <w:rPr>
          <w:rFonts w:hint="eastAsia" w:ascii="宋体" w:hAnsi="宋体" w:eastAsia="宋体" w:cs="宋体"/>
          <w:b w:val="0"/>
          <w:bCs w:val="0"/>
          <w:color w:val="000000" w:themeColor="text1"/>
          <w:sz w:val="22"/>
          <w:szCs w:val="22"/>
          <w:lang w:eastAsia="zh-CN"/>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（2022</w:t>
      </w:r>
      <w:r>
        <w:rPr>
          <w:rFonts w:hint="eastAsia" w:ascii="楷体" w:hAnsi="楷体" w:eastAsia="楷体" w:cs="楷体"/>
          <w:b w:val="0"/>
          <w:bCs w:val="0"/>
          <w:color w:val="000000" w:themeColor="text1"/>
          <w:sz w:val="22"/>
          <w:szCs w:val="22"/>
          <w:highlight w:val="none"/>
          <w14:textFill>
            <w14:solidFill>
              <w14:schemeClr w14:val="tx1"/>
            </w14:solidFill>
          </w14:textFill>
        </w:rPr>
        <w:t>∙</w:t>
      </w: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新高考Ⅰ卷）</w:t>
      </w:r>
      <w:r>
        <w:rPr>
          <w:rFonts w:hint="eastAsia" w:ascii="宋体" w:hAnsi="宋体" w:eastAsia="宋体" w:cs="宋体"/>
          <w:b w:val="0"/>
          <w:bCs w:val="0"/>
          <w:color w:val="000000" w:themeColor="text1"/>
          <w:sz w:val="22"/>
          <w:szCs w:val="22"/>
          <w14:textFill>
            <w14:solidFill>
              <w14:schemeClr w14:val="tx1"/>
            </w14:solidFill>
          </w14:textFill>
        </w:rPr>
        <w:t xml:space="preserve">下列对材料相关内容的理解和分析，不正确的一项是（ </w:t>
      </w:r>
      <w:r>
        <w:rPr>
          <w:rFonts w:hint="eastAsia" w:ascii="宋体" w:hAnsi="宋体" w:eastAsia="宋体" w:cs="宋体"/>
          <w:b w:val="0"/>
          <w:bCs w:val="0"/>
          <w:color w:val="000000" w:themeColor="text1"/>
          <w:sz w:val="22"/>
          <w:szCs w:val="22"/>
          <w:lang w:val="en-US" w:eastAsia="zh-CN"/>
          <w14:textFill>
            <w14:solidFill>
              <w14:schemeClr w14:val="tx1"/>
            </w14:solidFill>
          </w14:textFill>
        </w:rPr>
        <w:t>D</w:t>
      </w:r>
      <w:r>
        <w:rPr>
          <w:rFonts w:hint="eastAsia" w:ascii="宋体" w:hAnsi="宋体" w:eastAsia="宋体" w:cs="宋体"/>
          <w:b w:val="0"/>
          <w:bCs w:val="0"/>
          <w:color w:val="000000" w:themeColor="text1"/>
          <w:sz w:val="22"/>
          <w:szCs w:val="22"/>
          <w14:textFill>
            <w14:solidFill>
              <w14:schemeClr w14:val="tx1"/>
            </w14:solidFill>
          </w14:textFill>
        </w:rPr>
        <w:t xml:space="preserve">  </w:t>
      </w:r>
      <w:r>
        <w:rPr>
          <w:rFonts w:hint="eastAsia" w:ascii="宋体" w:hAnsi="宋体" w:eastAsia="宋体" w:cs="宋体"/>
          <w:b w:val="0"/>
          <w:bCs w:val="0"/>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A. 中华民族具有深厚的文化传统，形成了富有特色的思想体系，这是推动中华文明“创造性转化、创新性发展”的重要前提。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B. 中国特色哲学社会科学的构建，可以向世界传播中国优秀学术理论，为解决世界性问题提供中国经验。</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C. 当代新诗之所以出现“食洋不化”的病症，一是因为丢失了本民族的诗歌传统，二是因为东西方文化差异巨大。</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D. 中国古典诗论虽不以体系和逻辑见长，但蕴含诗性品格和人文情致，比西方文论更有生命力。</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仿宋" w:hAnsi="仿宋" w:eastAsia="仿宋" w:cs="仿宋"/>
          <w:b w:val="0"/>
          <w:bCs w:val="0"/>
          <w:color w:val="000000" w:themeColor="text1"/>
          <w:sz w:val="22"/>
          <w:szCs w:val="22"/>
          <w14:textFill>
            <w14:solidFill>
              <w14:schemeClr w14:val="tx1"/>
            </w14:solidFill>
          </w14:textFill>
        </w:rPr>
      </w:pPr>
      <w:r>
        <w:rPr>
          <w:rFonts w:hint="eastAsia" w:ascii="黑体" w:hAnsi="黑体" w:eastAsia="黑体" w:cs="黑体"/>
          <w:b w:val="0"/>
          <w:bCs w:val="0"/>
          <w:color w:val="000000" w:themeColor="text1"/>
          <w:sz w:val="22"/>
          <w:szCs w:val="22"/>
          <w:lang w:val="en-US" w:eastAsia="zh-CN"/>
          <w14:textFill>
            <w14:solidFill>
              <w14:schemeClr w14:val="tx1"/>
            </w14:solidFill>
          </w14:textFill>
        </w:rPr>
        <w:t>【解析】</w:t>
      </w:r>
      <w:r>
        <w:rPr>
          <w:rFonts w:hint="eastAsia" w:ascii="仿宋" w:hAnsi="仿宋" w:eastAsia="仿宋" w:cs="仿宋"/>
          <w:b w:val="0"/>
          <w:bCs w:val="0"/>
          <w:color w:val="000000" w:themeColor="text1"/>
          <w:sz w:val="22"/>
          <w:szCs w:val="22"/>
          <w14:textFill>
            <w14:solidFill>
              <w14:schemeClr w14:val="tx1"/>
            </w14:solidFill>
          </w14:textFill>
        </w:rPr>
        <w:t>本题主要考查筛选、理解和分析文中重组信息的能力。答题时注意仔细阅读文章，找准有效答题区间，然后认真对比阅读。寻找细微的差别。</w:t>
      </w:r>
    </w:p>
    <w:p>
      <w:pPr>
        <w:keepNext w:val="0"/>
        <w:keepLines w:val="0"/>
        <w:pageBreakBefore w:val="0"/>
        <w:widowControl w:val="0"/>
        <w:kinsoku/>
        <w:wordWrap/>
        <w:topLinePunct w:val="0"/>
        <w:bidi w:val="0"/>
        <w:spacing w:line="360" w:lineRule="exact"/>
        <w:ind w:firstLine="440" w:firstLineChars="200"/>
        <w:rPr>
          <w:rFonts w:hint="eastAsia" w:ascii="宋体" w:hAnsi="宋体" w:eastAsia="宋体" w:cs="宋体"/>
          <w:b w:val="0"/>
          <w:bCs w:val="0"/>
          <w:color w:val="000000" w:themeColor="text1"/>
          <w:sz w:val="22"/>
          <w:szCs w:val="22"/>
          <w14:textFill>
            <w14:solidFill>
              <w14:schemeClr w14:val="tx1"/>
            </w14:solidFill>
          </w14:textFill>
        </w:rPr>
      </w:pPr>
      <w:r>
        <w:rPr>
          <w:rFonts w:hint="eastAsia" w:ascii="仿宋" w:hAnsi="仿宋" w:eastAsia="仿宋" w:cs="仿宋"/>
          <w:b w:val="0"/>
          <w:bCs w:val="0"/>
          <w:color w:val="000000" w:themeColor="text1"/>
          <w:sz w:val="22"/>
          <w:szCs w:val="22"/>
          <w14:textFill>
            <w14:solidFill>
              <w14:schemeClr w14:val="tx1"/>
            </w14:solidFill>
          </w14:textFill>
        </w:rPr>
        <w:t>D</w:t>
      </w:r>
      <w:r>
        <w:rPr>
          <w:rFonts w:hint="eastAsia" w:ascii="仿宋" w:hAnsi="仿宋" w:eastAsia="仿宋" w:cs="仿宋"/>
          <w:b w:val="0"/>
          <w:bCs w:val="0"/>
          <w:color w:val="000000" w:themeColor="text1"/>
          <w:sz w:val="22"/>
          <w:szCs w:val="22"/>
          <w:lang w:val="en-US" w:eastAsia="zh-CN"/>
          <w14:textFill>
            <w14:solidFill>
              <w14:schemeClr w14:val="tx1"/>
            </w14:solidFill>
          </w14:textFill>
        </w:rPr>
        <w:t>项</w:t>
      </w:r>
      <w:r>
        <w:rPr>
          <w:rFonts w:hint="eastAsia" w:ascii="仿宋" w:hAnsi="仿宋" w:eastAsia="仿宋" w:cs="仿宋"/>
          <w:b w:val="0"/>
          <w:bCs w:val="0"/>
          <w:color w:val="000000" w:themeColor="text1"/>
          <w:sz w:val="22"/>
          <w:szCs w:val="22"/>
          <w14:textFill>
            <w14:solidFill>
              <w14:schemeClr w14:val="tx1"/>
            </w14:solidFill>
          </w14:textFill>
        </w:rPr>
        <w:t>“比西方文论更有生命力”错误，材料二第③段“恢复自己传统的活力才能吸收外来的营养”第④段西方文论“优点是落在文本实处和清晰的抽象概括”，“读古典诗论后可以意识到西方的科学分析、逻辑推理、抽象名词杜撰等虽不失为一家之法，却并非唯一的方法”。可见，古典诗论和西方文论各有千秋，并没说“比西方文论更有生命力”，无中生有，故D错误。</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 xml:space="preserve">（5）曲解文意  </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[辨析标识]常出现与原文内容类似的复述句或概括句</w:t>
      </w:r>
    </w:p>
    <w:p>
      <w:pPr>
        <w:keepNext w:val="0"/>
        <w:keepLines w:val="0"/>
        <w:pageBreakBefore w:val="0"/>
        <w:widowControl w:val="0"/>
        <w:kinsoku/>
        <w:wordWrap/>
        <w:topLinePunct w:val="0"/>
        <w:bidi w:val="0"/>
        <w:spacing w:beforeAutospacing="0" w:afterAutospacing="0" w:line="360" w:lineRule="exact"/>
        <w:ind w:left="0" w:leftChars="0" w:right="0" w:rightChars="0" w:firstLine="440" w:firstLineChars="200"/>
        <w:jc w:val="both"/>
        <w:textAlignment w:val="center"/>
        <w:outlineLvl w:val="0"/>
        <w:rPr>
          <w:rFonts w:hint="eastAsia" w:ascii="宋体" w:hAnsi="宋体" w:eastAsia="宋体" w:cs="宋体"/>
          <w:b w:val="0"/>
          <w:bCs w:val="0"/>
          <w:color w:val="000000" w:themeColor="text1"/>
          <w:spacing w:val="0"/>
          <w:kern w:val="21"/>
          <w:sz w:val="22"/>
          <w:szCs w:val="22"/>
          <w:lang w:val="en-US" w:eastAsia="zh-CN"/>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w:t>
      </w:r>
      <w:r>
        <w:rPr>
          <w:rFonts w:hint="eastAsia" w:ascii="楷体" w:hAnsi="楷体" w:eastAsia="楷体" w:cs="楷体"/>
          <w:b w:val="0"/>
          <w:bCs w:val="0"/>
          <w:color w:val="000000" w:themeColor="text1"/>
          <w:spacing w:val="0"/>
          <w:kern w:val="21"/>
          <w:sz w:val="22"/>
          <w:szCs w:val="22"/>
          <w:highlight w:val="none"/>
          <w14:textFill>
            <w14:solidFill>
              <w14:schemeClr w14:val="tx1"/>
            </w14:solidFill>
          </w14:textFill>
        </w:rPr>
        <w:t>2021</w:t>
      </w:r>
      <w:r>
        <w:rPr>
          <w:rFonts w:hint="eastAsia" w:ascii="楷体" w:hAnsi="楷体" w:eastAsia="楷体" w:cs="楷体"/>
          <w:b w:val="0"/>
          <w:bCs w:val="0"/>
          <w:color w:val="000000" w:themeColor="text1"/>
          <w:sz w:val="22"/>
          <w:szCs w:val="22"/>
          <w:highlight w:val="none"/>
          <w14:textFill>
            <w14:solidFill>
              <w14:schemeClr w14:val="tx1"/>
            </w14:solidFill>
          </w14:textFill>
        </w:rPr>
        <w:t>∙</w:t>
      </w:r>
      <w:r>
        <w:rPr>
          <w:rFonts w:hint="eastAsia" w:ascii="楷体" w:hAnsi="楷体" w:eastAsia="楷体" w:cs="楷体"/>
          <w:b w:val="0"/>
          <w:bCs w:val="0"/>
          <w:color w:val="000000" w:themeColor="text1"/>
          <w:spacing w:val="0"/>
          <w:kern w:val="21"/>
          <w:sz w:val="22"/>
          <w:szCs w:val="22"/>
          <w:highlight w:val="none"/>
          <w14:textFill>
            <w14:solidFill>
              <w14:schemeClr w14:val="tx1"/>
            </w14:solidFill>
          </w14:textFill>
        </w:rPr>
        <w:t>新高考Ⅱ卷</w:t>
      </w: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w:t>
      </w:r>
      <w:r>
        <w:rPr>
          <w:rFonts w:hint="eastAsia" w:ascii="宋体" w:hAnsi="宋体" w:eastAsia="宋体" w:cs="宋体"/>
          <w:b w:val="0"/>
          <w:bCs w:val="0"/>
          <w:color w:val="000000" w:themeColor="text1"/>
          <w:spacing w:val="0"/>
          <w:kern w:val="21"/>
          <w:sz w:val="22"/>
          <w:szCs w:val="22"/>
          <w:lang w:eastAsia="zh-CN"/>
          <w14:textFill>
            <w14:solidFill>
              <w14:schemeClr w14:val="tx1"/>
            </w14:solidFill>
          </w14:textFill>
        </w:rPr>
        <w:t>下列对原文内容的理解和分析，</w:t>
      </w:r>
      <w:r>
        <w:rPr>
          <w:rFonts w:hint="eastAsia" w:ascii="宋体" w:hAnsi="宋体" w:eastAsia="宋体" w:cs="宋体"/>
          <w:b w:val="0"/>
          <w:bCs w:val="0"/>
          <w:color w:val="000000" w:themeColor="text1"/>
          <w:spacing w:val="0"/>
          <w:kern w:val="21"/>
          <w:sz w:val="22"/>
          <w:szCs w:val="22"/>
          <w14:textFill>
            <w14:solidFill>
              <w14:schemeClr w14:val="tx1"/>
            </w14:solidFill>
          </w14:textFill>
        </w:rPr>
        <w:t>正确</w:t>
      </w:r>
      <w:r>
        <w:rPr>
          <w:rFonts w:hint="eastAsia" w:ascii="宋体" w:hAnsi="宋体" w:eastAsia="宋体" w:cs="宋体"/>
          <w:b w:val="0"/>
          <w:bCs w:val="0"/>
          <w:color w:val="000000" w:themeColor="text1"/>
          <w:spacing w:val="0"/>
          <w:kern w:val="21"/>
          <w:sz w:val="22"/>
          <w:szCs w:val="22"/>
          <w:lang w:eastAsia="zh-CN"/>
          <w14:textFill>
            <w14:solidFill>
              <w14:schemeClr w14:val="tx1"/>
            </w14:solidFill>
          </w14:textFill>
        </w:rPr>
        <w:t>的一项是（</w:t>
      </w:r>
      <w:r>
        <w:rPr>
          <w:rFonts w:hint="eastAsia" w:ascii="宋体" w:hAnsi="宋体" w:eastAsia="宋体" w:cs="宋体"/>
          <w:b w:val="0"/>
          <w:bCs w:val="0"/>
          <w:color w:val="000000" w:themeColor="text1"/>
          <w:spacing w:val="0"/>
          <w:kern w:val="21"/>
          <w:sz w:val="22"/>
          <w:szCs w:val="22"/>
          <w:lang w:val="en-US" w:eastAsia="zh-CN"/>
          <w14:textFill>
            <w14:solidFill>
              <w14:schemeClr w14:val="tx1"/>
            </w14:solidFill>
          </w14:textFill>
        </w:rPr>
        <w:t>3分</w:t>
      </w:r>
      <w:r>
        <w:rPr>
          <w:rFonts w:hint="eastAsia" w:ascii="宋体" w:hAnsi="宋体" w:eastAsia="宋体" w:cs="宋体"/>
          <w:b w:val="0"/>
          <w:bCs w:val="0"/>
          <w:color w:val="000000" w:themeColor="text1"/>
          <w:spacing w:val="0"/>
          <w:kern w:val="21"/>
          <w:sz w:val="22"/>
          <w:szCs w:val="22"/>
          <w:lang w:eastAsia="zh-CN"/>
          <w14:textFill>
            <w14:solidFill>
              <w14:schemeClr w14:val="tx1"/>
            </w14:solidFill>
          </w14:textFill>
        </w:rPr>
        <w:t>）</w:t>
      </w:r>
      <w:r>
        <w:rPr>
          <w:rFonts w:hint="eastAsia" w:ascii="宋体" w:hAnsi="宋体" w:eastAsia="宋体" w:cs="宋体"/>
          <w:b w:val="0"/>
          <w:bCs w:val="0"/>
          <w:color w:val="000000" w:themeColor="text1"/>
          <w:spacing w:val="0"/>
          <w:kern w:val="21"/>
          <w:sz w:val="22"/>
          <w:szCs w:val="22"/>
          <w:lang w:val="en-US" w:eastAsia="zh-CN"/>
          <w14:textFill>
            <w14:solidFill>
              <w14:schemeClr w14:val="tx1"/>
            </w14:solidFill>
          </w14:textFill>
        </w:rPr>
        <w:t>C</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both"/>
        <w:textAlignment w:val="center"/>
        <w:rPr>
          <w:rFonts w:hint="eastAsia" w:ascii="宋体" w:hAnsi="宋体" w:eastAsia="宋体" w:cs="宋体"/>
          <w:b w:val="0"/>
          <w:bCs w:val="0"/>
          <w:color w:val="000000" w:themeColor="text1"/>
          <w:spacing w:val="0"/>
          <w:kern w:val="21"/>
          <w:sz w:val="22"/>
          <w:szCs w:val="22"/>
          <w14:textFill>
            <w14:solidFill>
              <w14:schemeClr w14:val="tx1"/>
            </w14:solidFill>
          </w14:textFill>
        </w:rPr>
      </w:pPr>
      <w:r>
        <w:rPr>
          <w:rFonts w:hint="eastAsia" w:ascii="宋体" w:hAnsi="宋体" w:eastAsia="宋体" w:cs="宋体"/>
          <w:b w:val="0"/>
          <w:bCs w:val="0"/>
          <w:color w:val="000000" w:themeColor="text1"/>
          <w:spacing w:val="0"/>
          <w:kern w:val="21"/>
          <w:sz w:val="22"/>
          <w:szCs w:val="22"/>
          <w14:textFill>
            <w14:solidFill>
              <w14:schemeClr w14:val="tx1"/>
            </w14:solidFill>
          </w14:textFill>
        </w:rPr>
        <w:t>D. “等效意识”要求网络行为的主体在现实和网络空间中的行为要始终保持一致。</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both"/>
        <w:textAlignment w:val="center"/>
        <w:rPr>
          <w:rFonts w:hint="eastAsia" w:ascii="仿宋" w:hAnsi="仿宋" w:eastAsia="仿宋" w:cs="仿宋"/>
          <w:b w:val="0"/>
          <w:bCs w:val="0"/>
          <w:i w:val="0"/>
          <w:caps w:val="0"/>
          <w:color w:val="000000" w:themeColor="text1"/>
          <w:spacing w:val="0"/>
          <w:kern w:val="21"/>
          <w:sz w:val="22"/>
          <w:szCs w:val="22"/>
          <w:u w:val="none"/>
          <w:lang w:val="en-US" w:eastAsia="zh-CN"/>
          <w14:textFill>
            <w14:solidFill>
              <w14:schemeClr w14:val="tx1"/>
            </w14:solidFill>
          </w14:textFill>
        </w:rPr>
      </w:pPr>
      <w:r>
        <w:rPr>
          <w:rFonts w:hint="eastAsia" w:ascii="黑体" w:hAnsi="黑体" w:eastAsia="黑体" w:cs="黑体"/>
          <w:b w:val="0"/>
          <w:bCs w:val="0"/>
          <w:color w:val="000000" w:themeColor="text1"/>
          <w:spacing w:val="0"/>
          <w:kern w:val="21"/>
          <w:sz w:val="22"/>
          <w:szCs w:val="22"/>
          <w:lang w:eastAsia="zh-CN"/>
          <w14:textFill>
            <w14:solidFill>
              <w14:schemeClr w14:val="tx1"/>
            </w14:solidFill>
          </w14:textFill>
        </w:rPr>
        <w:t>【解析】</w:t>
      </w:r>
      <w:r>
        <w:rPr>
          <w:rFonts w:hint="eastAsia" w:ascii="仿宋" w:hAnsi="仿宋" w:eastAsia="仿宋" w:cs="仿宋"/>
          <w:b w:val="0"/>
          <w:bCs w:val="0"/>
          <w:i w:val="0"/>
          <w:caps w:val="0"/>
          <w:color w:val="000000" w:themeColor="text1"/>
          <w:spacing w:val="0"/>
          <w:kern w:val="21"/>
          <w:sz w:val="22"/>
          <w:szCs w:val="22"/>
          <w:u w:val="none"/>
          <w14:textFill>
            <w14:solidFill>
              <w14:schemeClr w14:val="tx1"/>
            </w14:solidFill>
          </w14:textFill>
        </w:rPr>
        <w:t>D.是对线上线下的道德要求一致，并非线上线下的行为一致</w:t>
      </w:r>
      <w:r>
        <w:rPr>
          <w:rFonts w:hint="eastAsia" w:ascii="仿宋" w:hAnsi="仿宋" w:eastAsia="仿宋" w:cs="仿宋"/>
          <w:b w:val="0"/>
          <w:bCs w:val="0"/>
          <w:i w:val="0"/>
          <w:caps w:val="0"/>
          <w:color w:val="000000" w:themeColor="text1"/>
          <w:spacing w:val="0"/>
          <w:kern w:val="21"/>
          <w:sz w:val="22"/>
          <w:szCs w:val="22"/>
          <w:u w:val="none"/>
          <w:lang w:eastAsia="zh-CN"/>
          <w14:textFill>
            <w14:solidFill>
              <w14:schemeClr w14:val="tx1"/>
            </w14:solidFill>
          </w14:textFill>
        </w:rPr>
        <w:t>，</w:t>
      </w:r>
      <w:r>
        <w:rPr>
          <w:rFonts w:hint="eastAsia" w:ascii="仿宋" w:hAnsi="仿宋" w:eastAsia="仿宋" w:cs="仿宋"/>
          <w:b w:val="0"/>
          <w:bCs w:val="0"/>
          <w:i w:val="0"/>
          <w:caps w:val="0"/>
          <w:color w:val="000000" w:themeColor="text1"/>
          <w:spacing w:val="0"/>
          <w:kern w:val="21"/>
          <w:sz w:val="22"/>
          <w:szCs w:val="22"/>
          <w:u w:val="none"/>
          <w:lang w:val="en-US" w:eastAsia="zh-CN"/>
          <w14:textFill>
            <w14:solidFill>
              <w14:schemeClr w14:val="tx1"/>
            </w14:solidFill>
          </w14:textFill>
        </w:rPr>
        <w:t>曲解文意。故选C。</w:t>
      </w:r>
    </w:p>
    <w:p>
      <w:pPr>
        <w:keepNext w:val="0"/>
        <w:keepLines w:val="0"/>
        <w:pageBreakBefore w:val="0"/>
        <w:widowControl w:val="0"/>
        <w:kinsoku/>
        <w:wordWrap/>
        <w:overflowPunct/>
        <w:topLinePunct w:val="0"/>
        <w:bidi w:val="0"/>
        <w:adjustRightInd w:val="0"/>
        <w:snapToGrid w:val="0"/>
        <w:spacing w:beforeAutospacing="0" w:afterAutospacing="0" w:line="360" w:lineRule="exact"/>
        <w:ind w:left="0" w:leftChars="0" w:right="0" w:rightChars="0" w:firstLine="440" w:firstLineChars="200"/>
        <w:rPr>
          <w:rFonts w:hint="eastAsia" w:ascii="宋体" w:hAnsi="宋体" w:eastAsia="宋体" w:cs="宋体"/>
          <w:b w:val="0"/>
          <w:bCs w:val="0"/>
          <w:color w:val="000000" w:themeColor="text1"/>
          <w:kern w:val="2"/>
          <w:sz w:val="22"/>
          <w:szCs w:val="22"/>
          <w:highlight w:val="none"/>
          <w:lang w:val="en-US" w:eastAsia="zh-CN" w:bidi="zh-TW"/>
          <w14:textFill>
            <w14:solidFill>
              <w14:schemeClr w14:val="tx1"/>
            </w14:solidFill>
          </w14:textFill>
        </w:rPr>
      </w:pPr>
      <w:r>
        <w:rPr>
          <w:rFonts w:hint="eastAsia" w:ascii="仿宋" w:hAnsi="仿宋" w:eastAsia="仿宋" w:cs="仿宋"/>
          <w:b w:val="0"/>
          <w:bCs w:val="0"/>
          <w:color w:val="000000" w:themeColor="text1"/>
          <w:kern w:val="2"/>
          <w:sz w:val="22"/>
          <w:szCs w:val="22"/>
          <w:highlight w:val="none"/>
          <w:lang w:val="en-US" w:eastAsia="zh-CN" w:bidi="zh-TW"/>
          <w14:textFill>
            <w14:solidFill>
              <w14:schemeClr w14:val="tx1"/>
            </w14:solidFill>
          </w14:textFill>
        </w:rPr>
        <w:t>原文：</w:t>
      </w:r>
      <w:r>
        <w:rPr>
          <w:rFonts w:hint="eastAsia" w:ascii="仿宋" w:hAnsi="仿宋" w:eastAsia="仿宋" w:cs="仿宋"/>
          <w:b w:val="0"/>
          <w:bCs w:val="0"/>
          <w:color w:val="000000" w:themeColor="text1"/>
          <w:spacing w:val="0"/>
          <w:kern w:val="21"/>
          <w:sz w:val="22"/>
          <w:szCs w:val="22"/>
          <w14:textFill>
            <w14:solidFill>
              <w14:schemeClr w14:val="tx1"/>
            </w14:solidFill>
          </w14:textFill>
        </w:rPr>
        <w:t>所谓“等效意识”，就是当线上虚拟世界出现道德失范行为时，要将其视为与现实世界中的道德失范行为具有等效的实际影响，因此需要一视同仁地对我们线上和线下的行为提出道德规范要求。</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 xml:space="preserve">（6）混淆时态  </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kern w:val="2"/>
          <w:sz w:val="22"/>
          <w:szCs w:val="22"/>
          <w:highlight w:val="none"/>
          <w:lang w:val="en-US" w:eastAsia="zh-CN"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[辨析标识]常出现一些表示时间、结果的关键词，如“了、已经、将要、完成、结果”等。</w:t>
      </w:r>
    </w:p>
    <w:p>
      <w:pPr>
        <w:keepNext w:val="0"/>
        <w:keepLines w:val="0"/>
        <w:pageBreakBefore w:val="0"/>
        <w:kinsoku/>
        <w:wordWrap/>
        <w:overflowPunct/>
        <w:topLinePunct w:val="0"/>
        <w:autoSpaceDE/>
        <w:autoSpaceDN/>
        <w:bidi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（2023</w:t>
      </w:r>
      <w:r>
        <w:rPr>
          <w:rFonts w:hint="eastAsia" w:ascii="楷体" w:hAnsi="楷体" w:eastAsia="楷体" w:cs="楷体"/>
          <w:b w:val="0"/>
          <w:bCs w:val="0"/>
          <w:color w:val="000000" w:themeColor="text1"/>
          <w:sz w:val="22"/>
          <w:szCs w:val="22"/>
          <w:highlight w:val="none"/>
          <w14:textFill>
            <w14:solidFill>
              <w14:schemeClr w14:val="tx1"/>
            </w14:solidFill>
          </w14:textFill>
        </w:rPr>
        <w:t>∙</w:t>
      </w: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南通市2022～2023学年度第二学期高三期初试卷）</w:t>
      </w:r>
      <w:r>
        <w:rPr>
          <w:rFonts w:hint="eastAsia" w:ascii="宋体" w:hAnsi="宋体" w:eastAsia="宋体" w:cs="宋体"/>
          <w:b w:val="0"/>
          <w:bCs w:val="0"/>
          <w:color w:val="000000" w:themeColor="text1"/>
          <w:sz w:val="22"/>
          <w:szCs w:val="22"/>
          <w14:textFill>
            <w14:solidFill>
              <w14:schemeClr w14:val="tx1"/>
            </w14:solidFill>
          </w14:textFill>
        </w:rPr>
        <w:t>下列对材料相关内容的理解和分析，不正确的一项是</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14:textFill>
            <w14:solidFill>
              <w14:schemeClr w14:val="tx1"/>
            </w14:solidFill>
          </w14:textFill>
        </w:rPr>
        <w:t>3分</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C</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A.相对于传统文化批评，媒介批评关注到艺术与经济的关系，考虑经济因素与心理因素的交织，兼顾物质与精神层面。</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B.“在闲暇时间里面对一朵玫瑰花”，形象地揭示“美可以无功利”的特征，同时提醒批评家要对当下文化有清醒认识。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C.虽然非遗文化与新媒介文化的融合促进了非遗文化的发展，但新媒介文化的商业性也造成了传统文化的缺失或没落。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D.非遗文化传承人及非遗社区成员是非遗的核心主体，而短视频平台的介入，往往使得他们发挥不了核心主导作用。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i w:val="0"/>
          <w:color w:val="000000" w:themeColor="text1"/>
          <w:sz w:val="22"/>
          <w:szCs w:val="22"/>
          <w:u w:val="none"/>
          <w:lang w:eastAsia="zh-CN"/>
          <w14:textFill>
            <w14:solidFill>
              <w14:schemeClr w14:val="tx1"/>
            </w14:solidFill>
          </w14:textFill>
        </w:rPr>
      </w:pPr>
      <w:r>
        <w:rPr>
          <w:rFonts w:hint="eastAsia" w:ascii="黑体" w:hAnsi="黑体" w:eastAsia="黑体" w:cs="黑体"/>
          <w:b w:val="0"/>
          <w:bCs w:val="0"/>
          <w:i w:val="0"/>
          <w:color w:val="000000" w:themeColor="text1"/>
          <w:sz w:val="22"/>
          <w:szCs w:val="22"/>
          <w:u w:val="none"/>
          <w:lang w:eastAsia="zh-CN"/>
          <w14:textFill>
            <w14:solidFill>
              <w14:schemeClr w14:val="tx1"/>
            </w14:solidFill>
          </w14:textFill>
        </w:rPr>
        <w:t>【解析】</w:t>
      </w:r>
      <w:r>
        <w:rPr>
          <w:rFonts w:hint="eastAsia" w:ascii="仿宋" w:hAnsi="仿宋" w:eastAsia="仿宋" w:cs="仿宋"/>
          <w:b w:val="0"/>
          <w:bCs w:val="0"/>
          <w:i w:val="0"/>
          <w:color w:val="000000" w:themeColor="text1"/>
          <w:sz w:val="22"/>
          <w:szCs w:val="22"/>
          <w:u w:val="none"/>
          <w:lang w:eastAsia="zh-CN"/>
          <w14:textFill>
            <w14:solidFill>
              <w14:schemeClr w14:val="tx1"/>
            </w14:solidFill>
          </w14:textFill>
        </w:rPr>
        <w:t xml:space="preserve"> C选项中“造成了”错误，属于已然。”由材料二第三段最后一句可知，原文是说“极有可能”，表示揣测、未然，错在“未然”为“已然。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楷体" w:hAnsi="楷体" w:eastAsia="楷体" w:cs="楷体"/>
          <w:b w:val="0"/>
          <w:bCs w:val="0"/>
          <w:color w:val="000000" w:themeColor="text1"/>
          <w:sz w:val="22"/>
          <w:szCs w:val="22"/>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原文：</w:t>
      </w:r>
      <w:r>
        <w:rPr>
          <w:rFonts w:hint="eastAsia" w:ascii="楷体" w:hAnsi="楷体" w:eastAsia="楷体" w:cs="楷体"/>
          <w:b w:val="0"/>
          <w:bCs w:val="0"/>
          <w:color w:val="000000" w:themeColor="text1"/>
          <w:sz w:val="22"/>
          <w:szCs w:val="22"/>
          <w14:textFill>
            <w14:solidFill>
              <w14:schemeClr w14:val="tx1"/>
            </w14:solidFill>
          </w14:textFill>
        </w:rPr>
        <w:t>最终，非遗文化不断被变异、被解体、被丧失，甚至被同化入新媒介文化体系之中。而非遗文</w:t>
      </w:r>
      <w:r>
        <w:rPr>
          <w:rFonts w:hint="eastAsia" w:ascii="楷体" w:hAnsi="楷体" w:eastAsia="楷体" w:cs="楷体"/>
          <w:b w:val="0"/>
          <w:bCs w:val="0"/>
          <w:color w:val="000000" w:themeColor="text1"/>
          <w:spacing w:val="-11"/>
          <w:sz w:val="22"/>
          <w:szCs w:val="22"/>
          <w14:textFill>
            <w14:solidFill>
              <w14:schemeClr w14:val="tx1"/>
            </w14:solidFill>
          </w14:textFill>
        </w:rPr>
        <w:t>化逝去的部分如果没有新的文化因素来接替其功能，极有可能造成一个民族传统文化的缺失或没落。</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 xml:space="preserve">（7）混淆关系  </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kern w:val="2"/>
          <w:sz w:val="22"/>
          <w:szCs w:val="22"/>
          <w:highlight w:val="none"/>
          <w:lang w:val="en-US" w:eastAsia="zh-CN" w:bidi="zh-TW"/>
          <w14:textFill>
            <w14:solidFill>
              <w14:schemeClr w14:val="tx1"/>
            </w14:solidFill>
          </w14:textFill>
        </w:rPr>
      </w:pPr>
      <w:bookmarkStart w:id="0" w:name="_Hlk70408178"/>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[辨析标识]常出现一些表示肯定或否定的关键词，如“没有、无、无非、拒绝”等；一些表示因果或条件、假设关系的词，如“只有……才……”“只要……就……”“如果……那么……”等。</w:t>
      </w:r>
    </w:p>
    <w:p>
      <w:pPr>
        <w:pStyle w:val="8"/>
        <w:keepNext w:val="0"/>
        <w:keepLines w:val="0"/>
        <w:pageBreakBefore w:val="0"/>
        <w:widowControl/>
        <w:kinsoku/>
        <w:wordWrap/>
        <w:overflowPunct/>
        <w:topLinePunct w:val="0"/>
        <w:autoSpaceDE/>
        <w:autoSpaceDN/>
        <w:bidi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kern w:val="2"/>
          <w:sz w:val="22"/>
          <w:szCs w:val="22"/>
          <w:highlight w:val="none"/>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（2022</w:t>
      </w:r>
      <w:r>
        <w:rPr>
          <w:rFonts w:hint="eastAsia" w:ascii="楷体" w:hAnsi="楷体" w:eastAsia="楷体" w:cs="楷体"/>
          <w:b w:val="0"/>
          <w:bCs w:val="0"/>
          <w:color w:val="000000" w:themeColor="text1"/>
          <w:sz w:val="22"/>
          <w:szCs w:val="22"/>
          <w:highlight w:val="none"/>
          <w14:textFill>
            <w14:solidFill>
              <w14:schemeClr w14:val="tx1"/>
            </w14:solidFill>
          </w14:textFill>
        </w:rPr>
        <w:t>∙新高考卷Ⅱ</w:t>
      </w: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w:t>
      </w:r>
      <w:r>
        <w:rPr>
          <w:rFonts w:hint="eastAsia" w:ascii="宋体" w:hAnsi="宋体" w:eastAsia="宋体" w:cs="宋体"/>
          <w:b w:val="0"/>
          <w:bCs w:val="0"/>
          <w:color w:val="000000" w:themeColor="text1"/>
          <w:kern w:val="2"/>
          <w:sz w:val="22"/>
          <w:szCs w:val="22"/>
          <w:highlight w:val="none"/>
          <w:lang w:val="en-US" w:eastAsia="zh-CN" w:bidi="ar-SA"/>
          <w14:textFill>
            <w14:solidFill>
              <w14:schemeClr w14:val="tx1"/>
            </w14:solidFill>
          </w14:textFill>
        </w:rPr>
        <w:t>下列对材料相关内容的分析和评价，正确的一项是（3分）B</w:t>
      </w:r>
    </w:p>
    <w:p>
      <w:pPr>
        <w:keepNext/>
        <w:keepLines w:val="0"/>
        <w:pageBreakBefore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A.材料一分析了杨译本的长处和不足，指出应当客观公正地看待中国典籍翻译实践和接受之间的窘况与差距。</w:t>
      </w:r>
    </w:p>
    <w:p>
      <w:pPr>
        <w:keepNext/>
        <w:keepLines w:val="0"/>
        <w:pageBreakBefore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B.材料二使用“临摹”的概念，意在强调杨译本对于《红楼梦》的绝对忠实，这与霍译本的间或背信弃“意”形成了对比。</w:t>
      </w:r>
    </w:p>
    <w:p>
      <w:pPr>
        <w:keepNext/>
        <w:keepLines w:val="0"/>
        <w:pageBreakBefore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C.材料三认为只有完成两种异质文化观念转换生成的翻译者，才有可能创造性、补充性与生成性地重构《石头记》。</w:t>
      </w:r>
    </w:p>
    <w:p>
      <w:pPr>
        <w:keepNext/>
        <w:keepLines w:val="0"/>
        <w:pageBreakBefore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D.材料一提纲挈领，从总体述说中国典籍“谁来译”的问题，材料二和材料三则分而论之，三则材料呈现出总分的结构。</w:t>
      </w:r>
    </w:p>
    <w:p>
      <w:pPr>
        <w:keepLines w:val="0"/>
        <w:pageBreakBefore w:val="0"/>
        <w:kinsoku/>
        <w:wordWrap/>
        <w:overflowPunct/>
        <w:topLinePunct w:val="0"/>
        <w:autoSpaceDE/>
        <w:autoSpaceDN/>
        <w:bidi w:val="0"/>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kern w:val="2"/>
          <w:sz w:val="22"/>
          <w:szCs w:val="22"/>
          <w:highlight w:val="none"/>
          <w:lang w:val="en-US" w:eastAsia="zh-CN" w:bidi="zh-TW"/>
          <w14:textFill>
            <w14:solidFill>
              <w14:schemeClr w14:val="tx1"/>
            </w14:solidFill>
          </w14:textFill>
        </w:rPr>
      </w:pPr>
      <w:r>
        <w:rPr>
          <w:rFonts w:hint="eastAsia" w:ascii="黑体" w:hAnsi="黑体" w:eastAsia="黑体" w:cs="黑体"/>
          <w:b w:val="0"/>
          <w:bCs w:val="0"/>
          <w:i w:val="0"/>
          <w:color w:val="000000" w:themeColor="text1"/>
          <w:kern w:val="2"/>
          <w:sz w:val="22"/>
          <w:szCs w:val="22"/>
          <w:u w:val="none"/>
          <w:vertAlign w:val="baseline"/>
          <w:lang w:val="en-US" w:eastAsia="zh-CN" w:bidi="ar-SA"/>
          <w14:textFill>
            <w14:solidFill>
              <w14:schemeClr w14:val="tx1"/>
            </w14:solidFill>
          </w14:textFill>
        </w:rPr>
        <w:t>【解析】</w:t>
      </w:r>
      <w:r>
        <w:rPr>
          <w:rFonts w:hint="eastAsia" w:ascii="仿宋" w:hAnsi="仿宋" w:eastAsia="仿宋" w:cs="仿宋"/>
          <w:b w:val="0"/>
          <w:bCs w:val="0"/>
          <w:i w:val="0"/>
          <w:color w:val="000000" w:themeColor="text1"/>
          <w:sz w:val="22"/>
          <w:szCs w:val="22"/>
          <w:u w:val="none"/>
          <w:vertAlign w:val="baseline"/>
          <w:lang w:val="en-US" w:eastAsia="zh-CN"/>
          <w14:textFill>
            <w14:solidFill>
              <w14:schemeClr w14:val="tx1"/>
            </w14:solidFill>
          </w14:textFill>
        </w:rPr>
        <w:t>C.“只有……才……”是表示必要条件。材料三“他使用西方本土读者谙熟且可以接受的地道的英语及其文化、风俗等观念，以此来创造性、补充性与生成性地重构《石头记》，从而完成了两种异质文化观念之间的转换生成。”“重构《石头记》”和“转换生成”是因果关系。</w:t>
      </w:r>
    </w:p>
    <w:bookmarkEnd w:id="0"/>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 xml:space="preserve">（8）偷换概念  </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[辨析标识] 常出现一些表示判断的句式，如“……就是指……”等。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（202211</w:t>
      </w:r>
      <w:r>
        <w:rPr>
          <w:rFonts w:hint="eastAsia" w:ascii="楷体" w:hAnsi="楷体" w:eastAsia="楷体" w:cs="楷体"/>
          <w:b w:val="0"/>
          <w:bCs w:val="0"/>
          <w:color w:val="000000" w:themeColor="text1"/>
          <w:sz w:val="22"/>
          <w:szCs w:val="22"/>
          <w:highlight w:val="none"/>
          <w14:textFill>
            <w14:solidFill>
              <w14:schemeClr w14:val="tx1"/>
            </w14:solidFill>
          </w14:textFill>
        </w:rPr>
        <w:t>∙</w:t>
      </w: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常州市教育学会学业水平监测）</w:t>
      </w: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下列选项中研究案例与研究模式不匹配的一项是A</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A．双边文学关系研究：通过实证的手段还原汪曾祺文学创作中来自其师沈从文的文化因子，解明后者对前者的影响。</w:t>
      </w:r>
    </w:p>
    <w:p>
      <w:pPr>
        <w:keepLines w:val="0"/>
        <w:pageBreakBefore w:val="0"/>
        <w:kinsoku/>
        <w:wordWrap/>
        <w:overflowPunct/>
        <w:topLinePunct w:val="0"/>
        <w:autoSpaceDE/>
        <w:autoSpaceDN/>
        <w:bidi w:val="0"/>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i w:val="0"/>
          <w:color w:val="000000" w:themeColor="text1"/>
          <w:sz w:val="22"/>
          <w:szCs w:val="22"/>
          <w:u w:val="none"/>
          <w:vertAlign w:val="baseline"/>
          <w:lang w:val="en-US" w:eastAsia="zh-CN"/>
          <w14:textFill>
            <w14:solidFill>
              <w14:schemeClr w14:val="tx1"/>
            </w14:solidFill>
          </w14:textFill>
        </w:rPr>
      </w:pPr>
      <w:r>
        <w:rPr>
          <w:rFonts w:hint="eastAsia" w:ascii="黑体" w:hAnsi="黑体" w:eastAsia="黑体" w:cs="黑体"/>
          <w:b w:val="0"/>
          <w:bCs w:val="0"/>
          <w:i w:val="0"/>
          <w:color w:val="000000" w:themeColor="text1"/>
          <w:sz w:val="22"/>
          <w:szCs w:val="22"/>
          <w:u w:val="none"/>
          <w:vertAlign w:val="baseline"/>
          <w:lang w:val="en-US" w:eastAsia="zh-CN"/>
          <w14:textFill>
            <w14:solidFill>
              <w14:schemeClr w14:val="tx1"/>
            </w14:solidFill>
          </w14:textFill>
        </w:rPr>
        <w:t>【解析】</w:t>
      </w:r>
      <w:r>
        <w:rPr>
          <w:rFonts w:hint="eastAsia" w:ascii="仿宋" w:hAnsi="仿宋" w:eastAsia="仿宋" w:cs="仿宋"/>
          <w:b w:val="0"/>
          <w:bCs w:val="0"/>
          <w:i w:val="0"/>
          <w:color w:val="000000" w:themeColor="text1"/>
          <w:sz w:val="22"/>
          <w:szCs w:val="22"/>
          <w:u w:val="none"/>
          <w:vertAlign w:val="baseline"/>
          <w:lang w:val="en-US" w:eastAsia="zh-CN"/>
          <w14:textFill>
            <w14:solidFill>
              <w14:schemeClr w14:val="tx1"/>
            </w14:solidFill>
          </w14:textFill>
        </w:rPr>
        <w:t>偷换概念。A项沈从文与汪曾祺的师承影响关系，体现的是同一民族内文化的传递。从材料一第4节可以看到第二层次谈不同民族文化的传递。从材料一第7节可以看到第三层次谈不同民族文化的变异，本土文化因子与异文化因子相互组合的模式，以及由此产生的新样式。</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（9）说法绝对</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[辨析标识]一般情况下，信息类文本会谨慎使用“全部”“必须”“只要……就”“最”等类似的词语。当选项中出现此类词语的时候，考生就要注意该选项是否为设误项。</w:t>
      </w:r>
    </w:p>
    <w:p>
      <w:pPr>
        <w:pStyle w:val="8"/>
        <w:keepNext w:val="0"/>
        <w:keepLines w:val="0"/>
        <w:pageBreakBefore w:val="0"/>
        <w:widowControl/>
        <w:kinsoku/>
        <w:wordWrap/>
        <w:overflowPunct/>
        <w:topLinePunct w:val="0"/>
        <w:autoSpaceDE/>
        <w:autoSpaceDN/>
        <w:bidi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（202302月福州市普通高中毕业班质量检测）</w:t>
      </w: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根据材料内容，下列说法不正确的一项是B</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eastAsia="zh-CN"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A．材料一、二都涉及“文化自信”的话题，材料一侧重于方法而材料二侧重于意义和作用。</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GB" w:eastAsia="zh-CN"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B．开展“清明祭英烈”“学雷锋读书会”等活动，是巩固</w:t>
      </w:r>
      <w:r>
        <w:rPr>
          <w:rFonts w:hint="eastAsia" w:ascii="宋体" w:hAnsi="宋体" w:eastAsia="宋体" w:cs="宋体"/>
          <w:b w:val="0"/>
          <w:bCs w:val="0"/>
          <w:color w:val="000000" w:themeColor="text1"/>
          <w:sz w:val="22"/>
          <w:szCs w:val="22"/>
          <w:highlight w:val="none"/>
          <w:lang w:bidi="zh-TW"/>
          <w14:textFill>
            <w14:solidFill>
              <w14:schemeClr w14:val="tx1"/>
            </w14:solidFill>
          </w14:textFill>
        </w:rPr>
        <w:t>新时代主流思想舆论</w:t>
      </w: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的必由之路</w:t>
      </w:r>
      <w:r>
        <w:rPr>
          <w:rFonts w:hint="eastAsia" w:ascii="宋体" w:hAnsi="宋体" w:eastAsia="宋体" w:cs="宋体"/>
          <w:b w:val="0"/>
          <w:bCs w:val="0"/>
          <w:color w:val="000000" w:themeColor="text1"/>
          <w:sz w:val="22"/>
          <w:szCs w:val="22"/>
          <w:highlight w:val="none"/>
          <w:lang w:eastAsia="zh-CN" w:bidi="zh-TW"/>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eastAsia="zh-CN"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C．中华民族历尽沧桑，迎来和平盛世，这得益于文化中强大的精神力量具有“教化”作用。</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eastAsia="zh-CN" w:bidi="zh-TW"/>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D．开放自信地</w:t>
      </w:r>
      <w:r>
        <w:rPr>
          <w:rFonts w:hint="eastAsia" w:ascii="宋体" w:hAnsi="宋体" w:eastAsia="宋体" w:cs="宋体"/>
          <w:b w:val="0"/>
          <w:bCs w:val="0"/>
          <w:color w:val="000000" w:themeColor="text1"/>
          <w:sz w:val="22"/>
          <w:szCs w:val="22"/>
          <w:highlight w:val="none"/>
          <w:lang w:bidi="zh-TW"/>
          <w14:textFill>
            <w14:solidFill>
              <w14:schemeClr w14:val="tx1"/>
            </w14:solidFill>
          </w14:textFill>
        </w:rPr>
        <w:t>与世界人民分享中国经验的丰富内涵</w:t>
      </w:r>
      <w:r>
        <w:rPr>
          <w:rFonts w:hint="eastAsia" w:ascii="宋体" w:hAnsi="宋体" w:eastAsia="宋体" w:cs="宋体"/>
          <w:b w:val="0"/>
          <w:bCs w:val="0"/>
          <w:color w:val="000000" w:themeColor="text1"/>
          <w:sz w:val="22"/>
          <w:szCs w:val="22"/>
          <w:highlight w:val="none"/>
          <w:lang w:eastAsia="zh-CN" w:bidi="zh-TW"/>
          <w14:textFill>
            <w14:solidFill>
              <w14:schemeClr w14:val="tx1"/>
            </w14:solidFill>
          </w14:textFill>
        </w:rPr>
        <w:t>，</w:t>
      </w: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能</w:t>
      </w:r>
      <w:r>
        <w:rPr>
          <w:rFonts w:hint="eastAsia" w:ascii="宋体" w:hAnsi="宋体" w:eastAsia="宋体" w:cs="宋体"/>
          <w:b w:val="0"/>
          <w:bCs w:val="0"/>
          <w:color w:val="000000" w:themeColor="text1"/>
          <w:sz w:val="22"/>
          <w:szCs w:val="22"/>
          <w:highlight w:val="none"/>
          <w:lang w:bidi="zh-TW"/>
          <w14:textFill>
            <w14:solidFill>
              <w14:schemeClr w14:val="tx1"/>
            </w14:solidFill>
          </w14:textFill>
        </w:rPr>
        <w:t>提升</w:t>
      </w:r>
      <w:r>
        <w:rPr>
          <w:rFonts w:hint="eastAsia" w:ascii="宋体" w:hAnsi="宋体" w:eastAsia="宋体" w:cs="宋体"/>
          <w:b w:val="0"/>
          <w:bCs w:val="0"/>
          <w:color w:val="000000" w:themeColor="text1"/>
          <w:sz w:val="22"/>
          <w:szCs w:val="22"/>
          <w:highlight w:val="none"/>
          <w:lang w:val="en-US" w:eastAsia="zh-CN" w:bidi="zh-TW"/>
          <w14:textFill>
            <w14:solidFill>
              <w14:schemeClr w14:val="tx1"/>
            </w14:solidFill>
          </w14:textFill>
        </w:rPr>
        <w:t>我国</w:t>
      </w:r>
      <w:r>
        <w:rPr>
          <w:rFonts w:hint="eastAsia" w:ascii="宋体" w:hAnsi="宋体" w:eastAsia="宋体" w:cs="宋体"/>
          <w:b w:val="0"/>
          <w:bCs w:val="0"/>
          <w:color w:val="000000" w:themeColor="text1"/>
          <w:sz w:val="22"/>
          <w:szCs w:val="22"/>
          <w:highlight w:val="none"/>
          <w:lang w:bidi="zh-TW"/>
          <w14:textFill>
            <w14:solidFill>
              <w14:schemeClr w14:val="tx1"/>
            </w14:solidFill>
          </w14:textFill>
        </w:rPr>
        <w:t>文化软实力和文化影响力</w:t>
      </w:r>
      <w:r>
        <w:rPr>
          <w:rFonts w:hint="eastAsia" w:ascii="宋体" w:hAnsi="宋体" w:eastAsia="宋体" w:cs="宋体"/>
          <w:b w:val="0"/>
          <w:bCs w:val="0"/>
          <w:color w:val="000000" w:themeColor="text1"/>
          <w:sz w:val="22"/>
          <w:szCs w:val="22"/>
          <w:highlight w:val="none"/>
          <w:lang w:eastAsia="zh-CN" w:bidi="zh-TW"/>
          <w14:textFill>
            <w14:solidFill>
              <w14:schemeClr w14:val="tx1"/>
            </w14:solidFill>
          </w14:textFill>
        </w:rPr>
        <w:t>。</w:t>
      </w:r>
    </w:p>
    <w:p>
      <w:pPr>
        <w:keepLines w:val="0"/>
        <w:pageBreakBefore w:val="0"/>
        <w:kinsoku/>
        <w:wordWrap/>
        <w:overflowPunct/>
        <w:topLinePunct w:val="0"/>
        <w:autoSpaceDE/>
        <w:autoSpaceDN/>
        <w:bidi w:val="0"/>
        <w:spacing w:beforeAutospacing="0" w:afterAutospacing="0" w:line="360" w:lineRule="exact"/>
        <w:ind w:left="0" w:leftChars="0" w:right="0" w:rightChars="0" w:firstLine="440" w:firstLineChars="200"/>
        <w:jc w:val="left"/>
        <w:textAlignment w:val="auto"/>
        <w:rPr>
          <w:rFonts w:hint="eastAsia" w:ascii="宋体" w:hAnsi="宋体" w:eastAsia="宋体" w:cs="宋体"/>
          <w:b w:val="0"/>
          <w:bCs w:val="0"/>
          <w:i w:val="0"/>
          <w:color w:val="000000" w:themeColor="text1"/>
          <w:sz w:val="22"/>
          <w:szCs w:val="22"/>
          <w:u w:val="none"/>
          <w:vertAlign w:val="baseline"/>
          <w:lang w:eastAsia="zh-CN"/>
          <w14:textFill>
            <w14:solidFill>
              <w14:schemeClr w14:val="tx1"/>
            </w14:solidFill>
          </w14:textFill>
        </w:rPr>
      </w:pPr>
      <w:r>
        <w:rPr>
          <w:rFonts w:hint="eastAsia" w:ascii="黑体" w:hAnsi="黑体" w:eastAsia="黑体" w:cs="黑体"/>
          <w:b w:val="0"/>
          <w:bCs w:val="0"/>
          <w:i w:val="0"/>
          <w:color w:val="000000" w:themeColor="text1"/>
          <w:sz w:val="22"/>
          <w:szCs w:val="22"/>
          <w:u w:val="none"/>
          <w:vertAlign w:val="baseline"/>
          <w:lang w:eastAsia="zh-CN"/>
          <w14:textFill>
            <w14:solidFill>
              <w14:schemeClr w14:val="tx1"/>
            </w14:solidFill>
          </w14:textFill>
        </w:rPr>
        <w:t>【解析】</w:t>
      </w:r>
      <w:r>
        <w:rPr>
          <w:rFonts w:hint="eastAsia" w:ascii="仿宋" w:hAnsi="仿宋" w:eastAsia="仿宋" w:cs="仿宋"/>
          <w:b w:val="0"/>
          <w:bCs w:val="0"/>
          <w:i w:val="0"/>
          <w:color w:val="000000" w:themeColor="text1"/>
          <w:sz w:val="22"/>
          <w:szCs w:val="22"/>
          <w:u w:val="none"/>
          <w:vertAlign w:val="baseline"/>
          <w:lang w:eastAsia="zh-CN"/>
          <w14:textFill>
            <w14:solidFill>
              <w14:schemeClr w14:val="tx1"/>
            </w14:solidFill>
          </w14:textFill>
        </w:rPr>
        <w:t>B。说法绝对，开展“清明祭英烈”“学雷锋读书会”等活动，只是巩固新时代主流思想的具体途径，不是“必由之路”。材料一第④段提到“巩固新时代主流思想舆论”，是要“通过弘扬以伟大建党精神为源头的中国共产党人精神谱系，进行持续深入的社会主义核心价值观教育，让爱国主义、集体主义、社会主义教育深入人心”。</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2" w:firstLineChars="2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（10）扩大范围</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命题者在命制选项时故意增删、改动原文中表示范围限制或程度轻重的词语来干扰考生。</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[辨析标识]如以部分代替整体、以特殊代替普遍、以次要代替主要等。</w:t>
      </w:r>
    </w:p>
    <w:p>
      <w:pPr>
        <w:pStyle w:val="8"/>
        <w:keepNext w:val="0"/>
        <w:keepLines w:val="0"/>
        <w:pageBreakBefore w:val="0"/>
        <w:widowControl/>
        <w:kinsoku/>
        <w:wordWrap/>
        <w:overflowPunct/>
        <w:topLinePunct w:val="0"/>
        <w:autoSpaceDE/>
        <w:autoSpaceDN/>
        <w:bidi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（2020</w:t>
      </w:r>
      <w:r>
        <w:rPr>
          <w:rFonts w:hint="eastAsia" w:ascii="楷体" w:hAnsi="楷体" w:eastAsia="楷体" w:cs="楷体"/>
          <w:b w:val="0"/>
          <w:bCs w:val="0"/>
          <w:color w:val="000000" w:themeColor="text1"/>
          <w:sz w:val="22"/>
          <w:szCs w:val="22"/>
          <w:highlight w:val="none"/>
          <w14:textFill>
            <w14:solidFill>
              <w14:schemeClr w14:val="tx1"/>
            </w14:solidFill>
          </w14:textFill>
        </w:rPr>
        <w:t>∙</w:t>
      </w: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全国卷III）</w:t>
      </w: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D.</w:t>
      </w:r>
      <w:r>
        <w:rPr>
          <w:rFonts w:hint="eastAsia" w:ascii="宋体" w:hAnsi="宋体" w:eastAsia="宋体" w:cs="宋体"/>
          <w:b w:val="0"/>
          <w:bCs w:val="0"/>
          <w:color w:val="000000" w:themeColor="text1"/>
          <w:sz w:val="22"/>
          <w:szCs w:val="22"/>
          <w:highlight w:val="none"/>
          <w14:textFill>
            <w14:solidFill>
              <w14:schemeClr w14:val="tx1"/>
            </w14:solidFill>
          </w14:textFill>
        </w:rPr>
        <w:t>《古文观止》编者识力不高主要表现在历史见识方面，如认为《答苏武书》并非伪作，所选宋人作品持论偏颇且占比失当。</w:t>
      </w:r>
    </w:p>
    <w:p>
      <w:pPr>
        <w:pStyle w:val="8"/>
        <w:keepNext w:val="0"/>
        <w:keepLines w:val="0"/>
        <w:pageBreakBefore w:val="0"/>
        <w:widowControl/>
        <w:kinsoku/>
        <w:wordWrap/>
        <w:overflowPunct/>
        <w:topLinePunct w:val="0"/>
        <w:autoSpaceDE/>
        <w:autoSpaceDN/>
        <w:bidi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原文：以上三点，当是此书能广泛流布的原因。不过此书也有缺点，约略说来如下:一、编者识力不高。像李陵《答苏武书》，历来都疑为后人伪托，此书也加选录。还有宋朝人论历史人物的文章,往往抓住一点发议论,并不能够真正考虑当时历史的全面情况。这类文章也选多了。二、不免受到八股文的影响。选文所选《史记》,像《伯夷》《管晏》,这些传记议论多而不致力于刻画人物。编者选这些是看中它们的唱叹和转折，反而把最好的文章漏掉了。</w:t>
      </w:r>
    </w:p>
    <w:p>
      <w:pPr>
        <w:pStyle w:val="8"/>
        <w:keepNext w:val="0"/>
        <w:keepLines w:val="0"/>
        <w:pageBreakBefore w:val="0"/>
        <w:widowControl/>
        <w:kinsoku/>
        <w:wordWrap/>
        <w:overflowPunct/>
        <w:topLinePunct w:val="0"/>
        <w:autoSpaceDE/>
        <w:autoSpaceDN/>
        <w:bidi w:val="0"/>
        <w:spacing w:beforeAutospacing="0" w:afterAutospacing="0" w:line="360" w:lineRule="exact"/>
        <w:ind w:right="0" w:rightChars="0"/>
        <w:textAlignment w:val="auto"/>
        <w:rPr>
          <w:rFonts w:hint="eastAsia" w:ascii="宋体" w:hAnsi="宋体" w:eastAsia="宋体" w:cs="宋体"/>
          <w:b w:val="0"/>
          <w:bCs w:val="0"/>
          <w:color w:val="000000" w:themeColor="text1"/>
          <w:sz w:val="22"/>
          <w:szCs w:val="22"/>
          <w:highlight w:val="none"/>
          <w:lang w:eastAsia="zh-CN"/>
          <w14:textFill>
            <w14:solidFill>
              <w14:schemeClr w14:val="tx1"/>
            </w14:solidFill>
          </w14:textFill>
        </w:rPr>
      </w:pPr>
      <w:r>
        <w:rPr>
          <w:rFonts w:hint="eastAsia" w:ascii="黑体" w:hAnsi="黑体" w:eastAsia="黑体" w:cs="黑体"/>
          <w:b w:val="0"/>
          <w:bCs w:val="0"/>
          <w:i w:val="0"/>
          <w:color w:val="000000" w:themeColor="text1"/>
          <w:kern w:val="2"/>
          <w:sz w:val="22"/>
          <w:szCs w:val="22"/>
          <w:u w:val="none"/>
          <w:vertAlign w:val="baseline"/>
          <w:lang w:val="en-US" w:eastAsia="zh-CN" w:bidi="ar-SA"/>
          <w14:textFill>
            <w14:solidFill>
              <w14:schemeClr w14:val="tx1"/>
            </w14:solidFill>
          </w14:textFill>
        </w:rPr>
        <w:t>【解析】</w:t>
      </w:r>
      <w:r>
        <w:rPr>
          <w:rFonts w:hint="eastAsia" w:ascii="仿宋" w:hAnsi="仿宋" w:eastAsia="仿宋" w:cs="仿宋"/>
          <w:b w:val="0"/>
          <w:bCs w:val="0"/>
          <w:i w:val="0"/>
          <w:color w:val="000000" w:themeColor="text1"/>
          <w:kern w:val="2"/>
          <w:sz w:val="22"/>
          <w:szCs w:val="22"/>
          <w:u w:val="none"/>
          <w:vertAlign w:val="baseline"/>
          <w:lang w:val="en-US" w:eastAsia="zh-CN" w:bidi="ar-SA"/>
          <w14:textFill>
            <w14:solidFill>
              <w14:schemeClr w14:val="tx1"/>
            </w14:solidFill>
          </w14:textFill>
        </w:rPr>
        <w:t>“所选宋人作品持论偏颇”扩大范围，文章最后一段只是说所选的宋朝人论历史人物的文章持论偏颇，并非所选取的宋人作品都持论偏颇。“认为《答苏武书》并非伪作”曲解文意，原文“像李陵（答苏武书》，历来都疑为后人伪托，此书也加选录”的意思是《古文观止》不该收录有争议的作品，并不能因此说明编者认为（答苏武书》不是伪作。</w:t>
      </w:r>
    </w:p>
    <w:p>
      <w:pPr>
        <w:keepLines w:val="0"/>
        <w:pageBreakBefore w:val="0"/>
        <w:kinsoku/>
        <w:topLinePunct w:val="0"/>
        <w:bidi w:val="0"/>
        <w:spacing w:line="360" w:lineRule="exact"/>
        <w:ind w:firstLine="0" w:firstLineChars="0"/>
        <w:rPr>
          <w:rFonts w:hint="eastAsia" w:ascii="黑体" w:hAnsi="黑体" w:eastAsia="黑体" w:cs="黑体"/>
          <w:b w:val="0"/>
          <w:bCs w:val="0"/>
          <w:color w:val="000000" w:themeColor="text1"/>
          <w:sz w:val="24"/>
          <w:szCs w:val="24"/>
          <w:highlight w:val="none"/>
          <w:lang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lang w:val="en-US" w:eastAsia="zh-CN"/>
          <w14:textFill>
            <w14:solidFill>
              <w14:schemeClr w14:val="tx1"/>
            </w14:solidFill>
          </w14:textFill>
        </w:rPr>
        <w:t>（二）选择题第3题，文本外对文本内推断，选择题创新题解答。</w:t>
      </w:r>
    </w:p>
    <w:p>
      <w:pPr>
        <w:pStyle w:val="6"/>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这类题目主要是考查考生对材料的主要观点内容的理解，只要读懂了，题目做起来简单。</w:t>
      </w:r>
    </w:p>
    <w:p>
      <w:pPr>
        <w:pStyle w:val="13"/>
        <w:keepNext w:val="0"/>
        <w:keepLines w:val="0"/>
        <w:pageBreakBefore w:val="0"/>
        <w:widowControl w:val="0"/>
        <w:kinsoku/>
        <w:wordWrap/>
        <w:overflowPunct/>
        <w:topLinePunct w:val="0"/>
        <w:bidi w:val="0"/>
        <w:spacing w:before="0" w:beforeAutospacing="0" w:after="0" w:afterAutospacing="0" w:line="360" w:lineRule="exact"/>
        <w:ind w:left="0" w:leftChars="0" w:right="0" w:rightChars="0" w:firstLine="440" w:firstLineChars="200"/>
        <w:jc w:val="both"/>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（202302</w:t>
      </w:r>
      <w:r>
        <w:rPr>
          <w:rFonts w:hint="eastAsia" w:ascii="楷体" w:hAnsi="楷体" w:eastAsia="楷体" w:cs="楷体"/>
          <w:b w:val="0"/>
          <w:bCs w:val="0"/>
          <w:color w:val="000000" w:themeColor="text1"/>
          <w:sz w:val="22"/>
          <w:szCs w:val="22"/>
          <w:highlight w:val="none"/>
          <w14:textFill>
            <w14:solidFill>
              <w14:schemeClr w14:val="tx1"/>
            </w14:solidFill>
          </w14:textFill>
        </w:rPr>
        <w:t>∙</w:t>
      </w:r>
      <w:r>
        <w:rPr>
          <w:rFonts w:hint="eastAsia" w:ascii="楷体" w:hAnsi="楷体" w:eastAsia="楷体" w:cs="楷体"/>
          <w:b w:val="0"/>
          <w:bCs w:val="0"/>
          <w:color w:val="000000" w:themeColor="text1"/>
          <w:kern w:val="2"/>
          <w:sz w:val="22"/>
          <w:szCs w:val="22"/>
          <w:highlight w:val="none"/>
          <w:lang w:val="en-US" w:eastAsia="zh-CN" w:bidi="zh-TW"/>
          <w14:textFill>
            <w14:solidFill>
              <w14:schemeClr w14:val="tx1"/>
            </w14:solidFill>
          </w14:textFill>
        </w:rPr>
        <w:t>福州市普通高中毕业班质量检测）</w:t>
      </w:r>
      <w:r>
        <w:rPr>
          <w:rFonts w:hint="eastAsia" w:ascii="宋体" w:hAnsi="宋体" w:eastAsia="宋体" w:cs="宋体"/>
          <w:b w:val="0"/>
          <w:bCs w:val="0"/>
          <w:color w:val="000000" w:themeColor="text1"/>
          <w:sz w:val="22"/>
          <w:szCs w:val="22"/>
          <w:lang w:val="en-US" w:eastAsia="zh-CN"/>
          <w14:textFill>
            <w14:solidFill>
              <w14:schemeClr w14:val="tx1"/>
            </w14:solidFill>
          </w14:textFill>
        </w:rPr>
        <w:t>下列选项，最适合作为论据来支撑材料二观点的一项是（3分）A</w:t>
      </w:r>
    </w:p>
    <w:p>
      <w:pPr>
        <w:keepNext w:val="0"/>
        <w:keepLines w:val="0"/>
        <w:pageBreakBefore w:val="0"/>
        <w:widowControl w:val="0"/>
        <w:numPr>
          <w:ilvl w:val="0"/>
          <w:numId w:val="0"/>
        </w:numPr>
        <w:tabs>
          <w:tab w:val="left" w:pos="315"/>
        </w:tabs>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宋体" w:hAnsi="宋体" w:eastAsia="宋体" w:cs="宋体"/>
          <w:b w:val="0"/>
          <w:bCs w:val="0"/>
          <w:color w:val="000000" w:themeColor="text1"/>
          <w:sz w:val="22"/>
          <w:szCs w:val="22"/>
          <w:lang w:val="en-US" w:eastAsia="zh-CN"/>
          <w14:textFill>
            <w14:solidFill>
              <w14:schemeClr w14:val="tx1"/>
            </w14:solidFill>
          </w14:textFill>
        </w:rPr>
        <w:t>A．《周易·系辞》：“</w:t>
      </w:r>
      <w:r>
        <w:rPr>
          <w:rFonts w:hint="eastAsia" w:ascii="宋体" w:hAnsi="宋体" w:eastAsia="宋体" w:cs="宋体"/>
          <w:b w:val="0"/>
          <w:bCs w:val="0"/>
          <w:color w:val="000000" w:themeColor="text1"/>
          <w:sz w:val="22"/>
          <w:szCs w:val="22"/>
          <w14:textFill>
            <w14:solidFill>
              <w14:schemeClr w14:val="tx1"/>
            </w14:solidFill>
          </w14:textFill>
        </w:rPr>
        <w:t>鼓天下之动者存乎辞</w:t>
      </w:r>
      <w:r>
        <w:rPr>
          <w:rFonts w:hint="eastAsia" w:ascii="宋体" w:hAnsi="宋体" w:eastAsia="宋体" w:cs="宋体"/>
          <w:b w:val="0"/>
          <w:bCs w:val="0"/>
          <w:color w:val="000000" w:themeColor="text1"/>
          <w:sz w:val="22"/>
          <w:szCs w:val="22"/>
          <w:lang w:val="en-US"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ab/>
      </w:r>
    </w:p>
    <w:p>
      <w:pPr>
        <w:keepNext w:val="0"/>
        <w:keepLines w:val="0"/>
        <w:pageBreakBefore w:val="0"/>
        <w:widowControl w:val="0"/>
        <w:numPr>
          <w:ilvl w:val="0"/>
          <w:numId w:val="0"/>
        </w:numPr>
        <w:tabs>
          <w:tab w:val="left" w:pos="315"/>
        </w:tabs>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宋体" w:hAnsi="宋体" w:eastAsia="宋体" w:cs="宋体"/>
          <w:b w:val="0"/>
          <w:bCs w:val="0"/>
          <w:color w:val="000000" w:themeColor="text1"/>
          <w:sz w:val="22"/>
          <w:szCs w:val="22"/>
          <w:lang w:val="en-US" w:eastAsia="zh-CN"/>
          <w14:textFill>
            <w14:solidFill>
              <w14:schemeClr w14:val="tx1"/>
            </w14:solidFill>
          </w14:textFill>
        </w:rPr>
        <w:t>B．白居易《与元九书》：“文章合为时而著，歌诗合为事而作。”</w:t>
      </w:r>
      <w:r>
        <w:rPr>
          <w:rFonts w:hint="eastAsia" w:ascii="宋体" w:hAnsi="宋体" w:eastAsia="宋体" w:cs="宋体"/>
          <w:b w:val="0"/>
          <w:bCs w:val="0"/>
          <w:color w:val="000000" w:themeColor="text1"/>
          <w:sz w:val="22"/>
          <w:szCs w:val="22"/>
          <w:lang w:val="en-US" w:eastAsia="zh-CN"/>
          <w14:textFill>
            <w14:solidFill>
              <w14:schemeClr w14:val="tx1"/>
            </w14:solidFill>
          </w14:textFill>
        </w:rPr>
        <w:tab/>
      </w:r>
    </w:p>
    <w:p>
      <w:pPr>
        <w:keepNext w:val="0"/>
        <w:keepLines w:val="0"/>
        <w:pageBreakBefore w:val="0"/>
        <w:widowControl w:val="0"/>
        <w:numPr>
          <w:ilvl w:val="0"/>
          <w:numId w:val="0"/>
        </w:numPr>
        <w:tabs>
          <w:tab w:val="left" w:pos="315"/>
        </w:tabs>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宋体" w:hAnsi="宋体" w:eastAsia="宋体" w:cs="宋体"/>
          <w:b w:val="0"/>
          <w:bCs w:val="0"/>
          <w:color w:val="000000" w:themeColor="text1"/>
          <w:sz w:val="22"/>
          <w:szCs w:val="22"/>
          <w:lang w:val="en-US" w:eastAsia="zh-CN"/>
          <w14:textFill>
            <w14:solidFill>
              <w14:schemeClr w14:val="tx1"/>
            </w14:solidFill>
          </w14:textFill>
        </w:rPr>
        <w:t>C．贾岛《题诗后》：“两句三年得，一吟双泪流。”</w:t>
      </w:r>
    </w:p>
    <w:p>
      <w:pPr>
        <w:keepNext w:val="0"/>
        <w:keepLines w:val="0"/>
        <w:pageBreakBefore w:val="0"/>
        <w:widowControl w:val="0"/>
        <w:numPr>
          <w:ilvl w:val="0"/>
          <w:numId w:val="0"/>
        </w:numPr>
        <w:tabs>
          <w:tab w:val="left" w:pos="315"/>
        </w:tabs>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宋体" w:hAnsi="宋体" w:eastAsia="宋体" w:cs="宋体"/>
          <w:b w:val="0"/>
          <w:bCs w:val="0"/>
          <w:color w:val="000000" w:themeColor="text1"/>
          <w:sz w:val="22"/>
          <w:szCs w:val="22"/>
          <w:lang w:val="en-US" w:eastAsia="zh-CN"/>
          <w14:textFill>
            <w14:solidFill>
              <w14:schemeClr w14:val="tx1"/>
            </w14:solidFill>
          </w14:textFill>
        </w:rPr>
        <w:t>D．陆游《示子遹》：“汝果欲学诗，工夫在诗外。”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0" w:rightChars="0" w:firstLine="440" w:firstLineChars="200"/>
        <w:textAlignment w:val="auto"/>
        <w:rPr>
          <w:rFonts w:hint="eastAsia" w:ascii="宋体" w:hAnsi="宋体" w:eastAsia="宋体" w:cs="宋体"/>
          <w:b w:val="0"/>
          <w:bCs w:val="0"/>
          <w:i w:val="0"/>
          <w:color w:val="000000" w:themeColor="text1"/>
          <w:sz w:val="22"/>
          <w:szCs w:val="22"/>
          <w:u w:val="none"/>
          <w:lang w:eastAsia="zh-CN"/>
          <w14:textFill>
            <w14:solidFill>
              <w14:schemeClr w14:val="tx1"/>
            </w14:solidFill>
          </w14:textFill>
        </w:rPr>
      </w:pPr>
      <w:r>
        <w:rPr>
          <w:rFonts w:hint="eastAsia" w:ascii="黑体" w:hAnsi="黑体" w:eastAsia="黑体" w:cs="黑体"/>
          <w:b w:val="0"/>
          <w:bCs w:val="0"/>
          <w:i w:val="0"/>
          <w:color w:val="000000" w:themeColor="text1"/>
          <w:sz w:val="22"/>
          <w:szCs w:val="22"/>
          <w:u w:val="none"/>
          <w:lang w:eastAsia="zh-CN"/>
          <w14:textFill>
            <w14:solidFill>
              <w14:schemeClr w14:val="tx1"/>
            </w14:solidFill>
          </w14:textFill>
        </w:rPr>
        <w:t>【解析】</w:t>
      </w:r>
      <w:r>
        <w:rPr>
          <w:rFonts w:hint="eastAsia" w:ascii="仿宋" w:hAnsi="仿宋" w:eastAsia="仿宋" w:cs="仿宋"/>
          <w:b w:val="0"/>
          <w:bCs w:val="0"/>
          <w:i w:val="0"/>
          <w:color w:val="000000" w:themeColor="text1"/>
          <w:sz w:val="22"/>
          <w:szCs w:val="22"/>
          <w:u w:val="none"/>
          <w:lang w:eastAsia="zh-CN"/>
          <w14:textFill>
            <w14:solidFill>
              <w14:schemeClr w14:val="tx1"/>
            </w14:solidFill>
          </w14:textFill>
        </w:rPr>
        <w:t>A。鼓：鼓动，激发。辞：言词，文词。言辞或文章可以鼓动天下。符合材料二文学作品可以激发人精神力量的观点。B项强调文章要能反映时代特点，C项形象体现了对于字句的精心打磨及创作的艰辛，D项提醒学习要注重社会实践。</w:t>
      </w:r>
    </w:p>
    <w:p/>
    <w:sectPr>
      <w:pgSz w:w="11906" w:h="16838"/>
      <w:pgMar w:top="833" w:right="833" w:bottom="833" w:left="8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大黑简体">
    <w:altName w:val="黑体"/>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92DFDE"/>
    <w:multiLevelType w:val="singleLevel"/>
    <w:tmpl w:val="6992DFDE"/>
    <w:lvl w:ilvl="0" w:tentative="0">
      <w:start w:val="1"/>
      <w:numFmt w:val="decimal"/>
      <w:pStyle w:val="3"/>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YmUxZWIwN2E4M2M0MWViNmViYzZjNGI0YThmYWMifQ=="/>
  </w:docVars>
  <w:rsids>
    <w:rsidRoot w:val="00000000"/>
    <w:rsid w:val="1C2F2B8A"/>
    <w:rsid w:val="24A24B56"/>
    <w:rsid w:val="3E883632"/>
    <w:rsid w:val="707A1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eastAsia="宋体" w:cs="Times New Roman"/>
      <w:b/>
      <w:bCs/>
      <w:sz w:val="32"/>
      <w:szCs w:val="32"/>
    </w:rPr>
  </w:style>
  <w:style w:type="paragraph" w:styleId="3">
    <w:name w:val="List Number"/>
    <w:basedOn w:val="1"/>
    <w:uiPriority w:val="0"/>
    <w:pPr>
      <w:numPr>
        <w:ilvl w:val="0"/>
        <w:numId w:val="1"/>
      </w:numPr>
    </w:pPr>
  </w:style>
  <w:style w:type="paragraph" w:styleId="4">
    <w:name w:val="Body Text"/>
    <w:basedOn w:val="1"/>
    <w:next w:val="5"/>
    <w:qFormat/>
    <w:uiPriority w:val="0"/>
    <w:pPr>
      <w:autoSpaceDE w:val="0"/>
      <w:autoSpaceDN w:val="0"/>
      <w:ind w:left="110"/>
    </w:pPr>
    <w:rPr>
      <w:rFonts w:ascii="宋体" w:hAnsi="宋体" w:eastAsia="宋体" w:cs="宋体"/>
      <w:szCs w:val="21"/>
    </w:rPr>
  </w:style>
  <w:style w:type="paragraph" w:styleId="5">
    <w:name w:val="toc 5"/>
    <w:basedOn w:val="1"/>
    <w:next w:val="1"/>
    <w:qFormat/>
    <w:uiPriority w:val="0"/>
    <w:pPr>
      <w:wordWrap w:val="0"/>
      <w:ind w:left="1275"/>
    </w:pPr>
    <w:rPr>
      <w:rFonts w:ascii="宋体" w:hAnsi="宋体" w:eastAsia="Times New Roman" w:cs="Times New Roman"/>
      <w:kern w:val="0"/>
      <w:sz w:val="20"/>
      <w:szCs w:val="20"/>
    </w:rPr>
  </w:style>
  <w:style w:type="paragraph" w:styleId="6">
    <w:name w:val="Plain Text"/>
    <w:basedOn w:val="1"/>
    <w:qFormat/>
    <w:uiPriority w:val="0"/>
    <w:rPr>
      <w:rFonts w:ascii="宋体" w:hAnsi="Courier New" w:eastAsia="宋体" w:cs="Courier New"/>
      <w:szCs w:val="21"/>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rFonts w:cs="Times New Roman"/>
      <w:kern w:val="0"/>
      <w:sz w:val="24"/>
    </w:rPr>
  </w:style>
  <w:style w:type="paragraph" w:customStyle="1" w:styleId="11">
    <w:name w:val="Body text|1"/>
    <w:basedOn w:val="1"/>
    <w:qFormat/>
    <w:uiPriority w:val="0"/>
    <w:pPr>
      <w:spacing w:line="413" w:lineRule="auto"/>
      <w:ind w:firstLine="400"/>
    </w:pPr>
    <w:rPr>
      <w:rFonts w:ascii="宋体" w:hAnsi="宋体" w:eastAsia="宋体" w:cs="宋体"/>
      <w:sz w:val="19"/>
      <w:szCs w:val="19"/>
      <w:lang w:val="zh-TW" w:eastAsia="zh-TW" w:bidi="zh-TW"/>
    </w:rPr>
  </w:style>
  <w:style w:type="paragraph" w:customStyle="1" w:styleId="12">
    <w:name w:val="样式1"/>
    <w:basedOn w:val="1"/>
    <w:qFormat/>
    <w:uiPriority w:val="0"/>
    <w:pPr>
      <w:spacing w:line="360" w:lineRule="auto"/>
      <w:ind w:firstLine="422" w:firstLineChars="200"/>
    </w:pPr>
    <w:rPr>
      <w:rFonts w:ascii="Calibri" w:hAnsi="Calibri"/>
    </w:rPr>
  </w:style>
  <w:style w:type="paragraph" w:customStyle="1" w:styleId="13">
    <w:name w:val="Compact"/>
    <w:basedOn w:val="4"/>
    <w:qFormat/>
    <w:uiPriority w:val="0"/>
    <w:pPr>
      <w:spacing w:before="36" w:after="36"/>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6390</Words>
  <Characters>6562</Characters>
  <Lines>0</Lines>
  <Paragraphs>0</Paragraphs>
  <TotalTime>1</TotalTime>
  <ScaleCrop>false</ScaleCrop>
  <LinksUpToDate>false</LinksUpToDate>
  <CharactersWithSpaces>6607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2023-05-25T08:44:53Z</dcterms:created>
  <dc:creator>Administrator</dc:creator>
  <cp:lastModifiedBy>无事听春雷</cp:lastModifiedBy>
  <dcterms:modified xsi:type="dcterms:W3CDTF">2023-05-25T08:47:12Z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86A02A31F5B64F64A7C4A8310506178A_12</vt:lpwstr>
  </property>
</Properties>
</file>