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A" w:rsidRPr="00652B36" w:rsidRDefault="0059702A" w:rsidP="00652B36">
      <w:pPr>
        <w:widowControl/>
        <w:spacing w:line="38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652B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江苏省仪征中学2021-2022学年度第二学期高二政治导学案  </w:t>
      </w:r>
    </w:p>
    <w:p w:rsidR="0059702A" w:rsidRPr="00652B36" w:rsidRDefault="0059702A" w:rsidP="00652B36">
      <w:pPr>
        <w:widowControl/>
        <w:spacing w:line="38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652B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选择性必修二</w:t>
      </w:r>
      <w:r w:rsidRPr="00652B36">
        <w:rPr>
          <w:rFonts w:ascii="黑体" w:eastAsia="黑体" w:hAnsi="黑体" w:cs="宋体" w:hint="eastAsia"/>
          <w:b/>
          <w:bCs/>
          <w:kern w:val="0"/>
          <w:sz w:val="28"/>
          <w:szCs w:val="28"/>
          <w:lang w:eastAsia="zh-Hans"/>
        </w:rPr>
        <w:t xml:space="preserve"> </w:t>
      </w:r>
      <w:r w:rsidRPr="00652B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《法律与生活》</w:t>
      </w:r>
    </w:p>
    <w:p w:rsidR="0059702A" w:rsidRPr="00652B36" w:rsidRDefault="0059702A" w:rsidP="00652B36">
      <w:pPr>
        <w:widowControl/>
        <w:spacing w:line="38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652B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第四课  侵权责任与权利界限</w:t>
      </w:r>
    </w:p>
    <w:p w:rsidR="0059702A" w:rsidRPr="00652B36" w:rsidRDefault="0059702A" w:rsidP="00652B36">
      <w:pPr>
        <w:widowControl/>
        <w:spacing w:line="38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652B3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4.2  权利行使  注意界限</w:t>
      </w:r>
      <w:r w:rsidR="00251B4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(第一课时)</w:t>
      </w:r>
    </w:p>
    <w:p w:rsidR="0059702A" w:rsidRPr="00652B36" w:rsidRDefault="0059702A" w:rsidP="00652B36">
      <w:pPr>
        <w:widowControl/>
        <w:spacing w:line="380" w:lineRule="exac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652B36">
        <w:rPr>
          <w:rFonts w:ascii="楷体" w:eastAsia="楷体" w:hAnsi="楷体" w:cs="宋体" w:hint="eastAsia"/>
          <w:bCs/>
          <w:kern w:val="0"/>
          <w:sz w:val="24"/>
          <w:szCs w:val="24"/>
        </w:rPr>
        <w:t>研制人：曹淑莹  审核人：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 xml:space="preserve">马楠  </w:t>
      </w:r>
    </w:p>
    <w:p w:rsidR="0059702A" w:rsidRPr="00652B36" w:rsidRDefault="0059702A" w:rsidP="00652B36">
      <w:pPr>
        <w:widowControl/>
        <w:spacing w:line="380" w:lineRule="exac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 w:rsidRPr="00652B36"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授课日期：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 w:rsidR="00251B4E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3.11</w:t>
      </w:r>
      <w:r w:rsidRPr="00652B36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</w:t>
      </w:r>
    </w:p>
    <w:p w:rsidR="0059702A" w:rsidRDefault="0059702A" w:rsidP="00652B36">
      <w:pPr>
        <w:widowControl/>
        <w:spacing w:line="380" w:lineRule="exact"/>
        <w:ind w:left="211" w:hangingChars="100" w:hanging="211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652B36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【本课在课程标准中的表述】</w:t>
      </w:r>
    </w:p>
    <w:p w:rsidR="005D702F" w:rsidRDefault="005D702F" w:rsidP="005D702F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本课依据《普通高中思想政治课程标准(2017年版2020年修订)》选择性必修2《法律与生活》内容要求1.4编</w:t>
      </w:r>
    </w:p>
    <w:p w:rsidR="005D702F" w:rsidRPr="005D702F" w:rsidRDefault="005D702F" w:rsidP="005D702F">
      <w:pPr>
        <w:widowControl/>
        <w:spacing w:line="380" w:lineRule="exact"/>
        <w:ind w:left="210" w:hangingChars="100" w:hanging="210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Cs/>
          <w:kern w:val="0"/>
          <w:szCs w:val="21"/>
        </w:rPr>
        <w:t>写。课程标准内容要求及分析如下。内容要求：“1.4理解侵权责任的内容，树立依法承担责任的观念。”</w:t>
      </w:r>
    </w:p>
    <w:p w:rsidR="0059702A" w:rsidRPr="00652B36" w:rsidRDefault="0059702A" w:rsidP="00652B36">
      <w:pPr>
        <w:widowControl/>
        <w:spacing w:line="380" w:lineRule="exact"/>
        <w:jc w:val="left"/>
        <w:textAlignment w:val="center"/>
        <w:rPr>
          <w:rFonts w:asciiTheme="majorEastAsia" w:eastAsiaTheme="majorEastAsia" w:hAnsiTheme="majorEastAsia" w:cs="宋体"/>
          <w:b/>
          <w:bCs/>
          <w:kern w:val="0"/>
          <w:szCs w:val="21"/>
        </w:rPr>
      </w:pPr>
      <w:r w:rsidRPr="00652B36">
        <w:rPr>
          <w:rFonts w:asciiTheme="majorEastAsia" w:eastAsiaTheme="majorEastAsia" w:hAnsiTheme="maj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5"/>
        <w:gridCol w:w="1191"/>
        <w:gridCol w:w="813"/>
        <w:gridCol w:w="8081"/>
      </w:tblGrid>
      <w:tr w:rsidR="00652B36" w:rsidRPr="00652B36" w:rsidTr="00652B36">
        <w:tc>
          <w:tcPr>
            <w:tcW w:w="1526" w:type="dxa"/>
            <w:gridSpan w:val="2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52B36">
              <w:rPr>
                <w:rFonts w:asciiTheme="majorEastAsia" w:eastAsiaTheme="majorEastAsia" w:hAnsiTheme="majorEastAsia"/>
                <w:szCs w:val="21"/>
              </w:rPr>
              <w:t>课标要求</w:t>
            </w:r>
            <w:proofErr w:type="gramEnd"/>
          </w:p>
        </w:tc>
        <w:tc>
          <w:tcPr>
            <w:tcW w:w="8894" w:type="dxa"/>
            <w:gridSpan w:val="2"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理解侵权责任的内容,树立依法承担责任的观念</w:t>
            </w:r>
          </w:p>
        </w:tc>
      </w:tr>
      <w:tr w:rsidR="00652B36" w:rsidRPr="00652B36" w:rsidTr="00652B36">
        <w:tc>
          <w:tcPr>
            <w:tcW w:w="335" w:type="dxa"/>
            <w:vMerge w:val="restart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学习目标</w:t>
            </w:r>
          </w:p>
        </w:tc>
        <w:tc>
          <w:tcPr>
            <w:tcW w:w="1191" w:type="dxa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知识目标</w:t>
            </w:r>
          </w:p>
        </w:tc>
        <w:tc>
          <w:tcPr>
            <w:tcW w:w="8894" w:type="dxa"/>
            <w:gridSpan w:val="2"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1.人们行使民事权利时不能超过正当的界限;2.法律对于人身权</w:t>
            </w:r>
            <w:proofErr w:type="gramStart"/>
            <w:r w:rsidRPr="00652B36">
              <w:rPr>
                <w:rFonts w:asciiTheme="majorEastAsia" w:eastAsiaTheme="majorEastAsia" w:hAnsiTheme="majorEastAsia"/>
                <w:szCs w:val="21"/>
              </w:rPr>
              <w:t>作出</w:t>
            </w:r>
            <w:proofErr w:type="gramEnd"/>
            <w:r w:rsidRPr="00652B36">
              <w:rPr>
                <w:rFonts w:asciiTheme="majorEastAsia" w:eastAsiaTheme="majorEastAsia" w:hAnsiTheme="majorEastAsia"/>
                <w:szCs w:val="21"/>
              </w:rPr>
              <w:t>一定的限制;3.法律对知识产权的限制在著作权上表现明显;4.妥善处理相邻关系</w:t>
            </w:r>
          </w:p>
        </w:tc>
      </w:tr>
      <w:tr w:rsidR="00652B36" w:rsidRPr="00652B36" w:rsidTr="00652B36">
        <w:tc>
          <w:tcPr>
            <w:tcW w:w="335" w:type="dxa"/>
            <w:vMerge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1" w:type="dxa"/>
            <w:vMerge w:val="restart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素养目标</w:t>
            </w:r>
          </w:p>
        </w:tc>
        <w:tc>
          <w:tcPr>
            <w:tcW w:w="813" w:type="dxa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法治意识</w:t>
            </w:r>
          </w:p>
        </w:tc>
        <w:tc>
          <w:tcPr>
            <w:tcW w:w="8081" w:type="dxa"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通过民事权利有限制、妥善处理相邻关系的探究,使学生正确认识权利行使,从而做个守法的好公民</w:t>
            </w:r>
          </w:p>
        </w:tc>
      </w:tr>
      <w:tr w:rsidR="00652B36" w:rsidRPr="00652B36" w:rsidTr="00652B36">
        <w:tc>
          <w:tcPr>
            <w:tcW w:w="335" w:type="dxa"/>
            <w:vMerge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1" w:type="dxa"/>
            <w:vMerge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3" w:type="dxa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科学精神</w:t>
            </w:r>
          </w:p>
        </w:tc>
        <w:tc>
          <w:tcPr>
            <w:tcW w:w="8081" w:type="dxa"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正确理解人们行使民事权利时不能超过正当的界限、法律对于人身权</w:t>
            </w:r>
            <w:proofErr w:type="gramStart"/>
            <w:r w:rsidRPr="00652B36">
              <w:rPr>
                <w:rFonts w:asciiTheme="majorEastAsia" w:eastAsiaTheme="majorEastAsia" w:hAnsiTheme="majorEastAsia"/>
                <w:szCs w:val="21"/>
              </w:rPr>
              <w:t>作出</w:t>
            </w:r>
            <w:proofErr w:type="gramEnd"/>
            <w:r w:rsidRPr="00652B36">
              <w:rPr>
                <w:rFonts w:asciiTheme="majorEastAsia" w:eastAsiaTheme="majorEastAsia" w:hAnsiTheme="majorEastAsia"/>
                <w:szCs w:val="21"/>
              </w:rPr>
              <w:t>一定的限制、法律对知识产权的限制在著作权上表现明显、妥善处理相邻关系</w:t>
            </w:r>
          </w:p>
        </w:tc>
      </w:tr>
      <w:tr w:rsidR="00652B36" w:rsidRPr="00652B36" w:rsidTr="00652B36">
        <w:tc>
          <w:tcPr>
            <w:tcW w:w="1526" w:type="dxa"/>
            <w:gridSpan w:val="2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学习重点</w:t>
            </w:r>
          </w:p>
        </w:tc>
        <w:tc>
          <w:tcPr>
            <w:tcW w:w="8894" w:type="dxa"/>
            <w:gridSpan w:val="2"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法律对于人身权</w:t>
            </w:r>
            <w:proofErr w:type="gramStart"/>
            <w:r w:rsidRPr="00652B36">
              <w:rPr>
                <w:rFonts w:asciiTheme="majorEastAsia" w:eastAsiaTheme="majorEastAsia" w:hAnsiTheme="majorEastAsia"/>
                <w:szCs w:val="21"/>
              </w:rPr>
              <w:t>作出</w:t>
            </w:r>
            <w:proofErr w:type="gramEnd"/>
            <w:r w:rsidRPr="00652B36">
              <w:rPr>
                <w:rFonts w:asciiTheme="majorEastAsia" w:eastAsiaTheme="majorEastAsia" w:hAnsiTheme="majorEastAsia"/>
                <w:szCs w:val="21"/>
              </w:rPr>
              <w:t>一定的限制、法律对知识产权的限制在著作权上表现明显、妥善处理相邻关系</w:t>
            </w:r>
          </w:p>
        </w:tc>
      </w:tr>
      <w:tr w:rsidR="00652B36" w:rsidRPr="00652B36" w:rsidTr="00652B36">
        <w:tc>
          <w:tcPr>
            <w:tcW w:w="1526" w:type="dxa"/>
            <w:gridSpan w:val="2"/>
          </w:tcPr>
          <w:p w:rsidR="002946A8" w:rsidRPr="00652B36" w:rsidRDefault="002946A8" w:rsidP="00652B3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学习难点</w:t>
            </w:r>
          </w:p>
        </w:tc>
        <w:tc>
          <w:tcPr>
            <w:tcW w:w="8894" w:type="dxa"/>
            <w:gridSpan w:val="2"/>
          </w:tcPr>
          <w:p w:rsidR="002946A8" w:rsidRPr="00652B36" w:rsidRDefault="002946A8" w:rsidP="00652B36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  <w:r w:rsidRPr="00652B36">
              <w:rPr>
                <w:rFonts w:asciiTheme="majorEastAsia" w:eastAsiaTheme="majorEastAsia" w:hAnsiTheme="majorEastAsia"/>
                <w:szCs w:val="21"/>
              </w:rPr>
              <w:t>人们行使民事权利时不能超过正当的界限、妥善处理相邻关系</w:t>
            </w:r>
          </w:p>
        </w:tc>
      </w:tr>
    </w:tbl>
    <w:p w:rsidR="002946A8" w:rsidRPr="00652B36" w:rsidRDefault="0059702A" w:rsidP="00652B3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 w:hint="eastAsia"/>
          <w:b/>
          <w:szCs w:val="21"/>
        </w:rPr>
        <w:t>【必备知识】</w:t>
      </w:r>
    </w:p>
    <w:p w:rsidR="002946A8" w:rsidRPr="00251B4E" w:rsidRDefault="002946A8" w:rsidP="00251B4E">
      <w:pPr>
        <w:spacing w:line="380" w:lineRule="exact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251B4E">
        <w:rPr>
          <w:rFonts w:asciiTheme="majorEastAsia" w:eastAsiaTheme="majorEastAsia" w:hAnsiTheme="majorEastAsia"/>
          <w:b/>
          <w:szCs w:val="21"/>
        </w:rPr>
        <w:t>民事权利有限制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1.民法强调对权利的保护,而权利通常意味着人们有按照自己的意愿实施某一行为的自由。但是,民事主体行使民事权利时不能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,并且不得滥用民事权利损害</w:t>
      </w:r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、社会公共利益或者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。</w:t>
      </w:r>
      <w:r w:rsidR="00652B36">
        <w:rPr>
          <w:rFonts w:asciiTheme="majorEastAsia" w:eastAsiaTheme="majorEastAsia" w:hAnsiTheme="majorEastAsia"/>
          <w:szCs w:val="21"/>
        </w:rPr>
        <w:t xml:space="preserve"> 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2.民法为不同的民事权利设定了界限。例如,对经营者的产品质量或者服务质量进行批评、评论,就不能认定为侵害名誉权,因为这些行为是保障消费者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所必需的。但是,借机以</w:t>
      </w:r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、诋毁、侮辱等方式损害对方利益的,则构成侵权。</w:t>
      </w:r>
      <w:r w:rsidR="00652B36">
        <w:rPr>
          <w:rFonts w:asciiTheme="majorEastAsia" w:eastAsiaTheme="majorEastAsia" w:hAnsiTheme="majorEastAsia"/>
          <w:szCs w:val="21"/>
        </w:rPr>
        <w:t xml:space="preserve"> 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3.法律对知识产权的限制在著作权上表现明显,如作品的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和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。在特定的情形中,使用作品不需要著作权人同意,也不必支付使用费,这就是作品的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。在某些情形中,除非权利人事先声明不许使用,他人可以不经著作权人同意,直接使用著作权人的作品,但应当按照规定支付使用费,这属于作品的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。在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和</w:t>
      </w:r>
      <w:proofErr w:type="gramStart"/>
      <w:r w:rsidRPr="00652B36">
        <w:rPr>
          <w:rFonts w:asciiTheme="majorEastAsia" w:eastAsiaTheme="majorEastAsia" w:hAnsiTheme="majorEastAsia"/>
          <w:szCs w:val="21"/>
          <w:u w:val="single" w:color="000000"/>
        </w:rPr>
        <w:t xml:space="preserve">　　　　　　　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的情况下,仍须指明作者和作品出处。</w:t>
      </w:r>
      <w:r w:rsidR="00652B36">
        <w:rPr>
          <w:rFonts w:asciiTheme="majorEastAsia" w:eastAsiaTheme="majorEastAsia" w:hAnsiTheme="majorEastAsia"/>
          <w:szCs w:val="21"/>
        </w:rPr>
        <w:t xml:space="preserve"> </w:t>
      </w:r>
    </w:p>
    <w:p w:rsidR="002946A8" w:rsidRPr="00652B36" w:rsidRDefault="0059702A" w:rsidP="00652B3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 w:hint="eastAsia"/>
          <w:b/>
          <w:szCs w:val="21"/>
        </w:rPr>
        <w:t>【易错明辨】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1.民法强调对个人权利的保护,因此,人们行使民事权利时没有界限。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2.正当获取明星等公众人物或者企业产品的信息,或者对其加以批评、评论,侵害了其隐私权、名誉权。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2946A8" w:rsidRPr="00652B36" w:rsidRDefault="0059702A" w:rsidP="00652B3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 w:hint="eastAsia"/>
          <w:b/>
          <w:szCs w:val="21"/>
        </w:rPr>
        <w:lastRenderedPageBreak/>
        <w:t>【预习自测】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1.民法典明确规定,民事主体不得滥用民事权利损害(　　)。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①国家利益　②社会公共利益　③他人权益　④单位利益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A.①②</w:t>
      </w:r>
      <w:r w:rsidRPr="00652B36">
        <w:rPr>
          <w:rFonts w:asciiTheme="majorEastAsia" w:eastAsiaTheme="majorEastAsia" w:hAnsiTheme="majorEastAsia"/>
          <w:szCs w:val="21"/>
        </w:rPr>
        <w:tab/>
        <w:t>B.①④</w:t>
      </w:r>
      <w:r w:rsidRPr="00652B36">
        <w:rPr>
          <w:rFonts w:asciiTheme="majorEastAsia" w:eastAsiaTheme="majorEastAsia" w:hAnsiTheme="majorEastAsia"/>
          <w:szCs w:val="21"/>
        </w:rPr>
        <w:tab/>
        <w:t>C.②③</w:t>
      </w:r>
      <w:r w:rsidRPr="00652B36">
        <w:rPr>
          <w:rFonts w:asciiTheme="majorEastAsia" w:eastAsiaTheme="majorEastAsia" w:hAnsiTheme="majorEastAsia"/>
          <w:szCs w:val="21"/>
        </w:rPr>
        <w:tab/>
        <w:t>D.③④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2.根据著作权法的规定,在特定的情形中,使用作品不需要著作权人同意,也不必支付使用费。下列选项中属于这种情形的是(　　)。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A.为实施九年制义务教育和国家教育规划而编写出版的教科书中,汇编某一作品片段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B.为实施九年制义务教育和国家教育规划而编写出版的教科书中,汇编某一短小的文字作品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C为实施九年制义务教育和国家教育规划而编写出版的教科书中,汇编某一摄影作品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D.为课堂教学或者科学研究,翻译或者少量复制他人作品,供教学科研人员使用</w:t>
      </w:r>
    </w:p>
    <w:p w:rsidR="002946A8" w:rsidRPr="00652B36" w:rsidRDefault="0059702A" w:rsidP="00652B3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 w:hint="eastAsia"/>
          <w:b/>
          <w:szCs w:val="21"/>
        </w:rPr>
        <w:t>【自我探究】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/>
          <w:b/>
          <w:szCs w:val="21"/>
        </w:rPr>
        <w:t>议题</w:t>
      </w:r>
      <w:r w:rsidR="00251B4E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652B36">
        <w:rPr>
          <w:rFonts w:asciiTheme="majorEastAsia" w:eastAsiaTheme="majorEastAsia" w:hAnsiTheme="majorEastAsia"/>
          <w:b/>
          <w:szCs w:val="21"/>
        </w:rPr>
        <w:t>民事权利有限制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 xml:space="preserve">　　情境分析　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韩某在报纸上发表多篇文章,如《矿泉壶的“神力”有待商榷》《当心矿泉壶的副作用》《矿泉壶也有害》《矿泉壶,诓人乎?》《矿泉壶不出矿泉水》等,称有关研究表明,矿泉壶的矿化、磁化、灭菌装置有害,提醒消费者“慎用”“当心”,并对几家矿泉壶生产企业的广告提出批评。被点名批评的企业认为韩某的行为侵犯了他们的名誉权,于是向法院起诉。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观点</w:t>
      </w:r>
      <w:proofErr w:type="gramStart"/>
      <w:r w:rsidRPr="00652B36">
        <w:rPr>
          <w:rFonts w:asciiTheme="majorEastAsia" w:eastAsiaTheme="majorEastAsia" w:hAnsiTheme="majorEastAsia"/>
          <w:szCs w:val="21"/>
        </w:rPr>
        <w:t>一</w:t>
      </w:r>
      <w:proofErr w:type="gramEnd"/>
      <w:r w:rsidRPr="00652B36">
        <w:rPr>
          <w:rFonts w:asciiTheme="majorEastAsia" w:eastAsiaTheme="majorEastAsia" w:hAnsiTheme="majorEastAsia"/>
          <w:szCs w:val="21"/>
        </w:rPr>
        <w:t>:应当支持公民的言论自由。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观点二:应当保护企业的名誉。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 xml:space="preserve">　　思维碰撞　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你对此持什么观点?说一说你的理由。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 xml:space="preserve">　　情境分析　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在作业中引用了他人文章中的一大段话。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从同学那里拷贝了一份应用软件,安装到自己的电脑上。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从网上找到一首流行歌曲,下载到自己的手机上。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语文教科书中收录了一篇某当代作家的散文。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 xml:space="preserve">　　思维碰撞　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以上情形是否侵犯了著作权?想一想生活中还有哪些类似的例子。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:rsidR="002946A8" w:rsidRPr="00652B36" w:rsidRDefault="002946A8" w:rsidP="00652B36">
      <w:pPr>
        <w:spacing w:line="380" w:lineRule="exact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/>
          <w:b/>
          <w:szCs w:val="21"/>
        </w:rPr>
        <w:t xml:space="preserve">　　疑难点拨　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消费者、新闻单位对生产者、经营者、销售者的产品质量或者服务质量进行批评、评论。</w:t>
      </w:r>
    </w:p>
    <w:p w:rsidR="00652B36" w:rsidRPr="00251B4E" w:rsidRDefault="002946A8" w:rsidP="00251B4E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最高人民法院就审理名誉权纠纷案件所作的司法解释指出,消费者对生产者、经营者、销售者的产品质量或</w:t>
      </w:r>
      <w:r w:rsidRPr="00652B36">
        <w:rPr>
          <w:rFonts w:asciiTheme="majorEastAsia" w:eastAsiaTheme="majorEastAsia" w:hAnsiTheme="majorEastAsia"/>
          <w:szCs w:val="21"/>
        </w:rPr>
        <w:lastRenderedPageBreak/>
        <w:t>者服务质量进行批评、评论,不应当认定为侵害名誉权;但借机诽谤、诋毁,损害其名誉的,应当认定为侵害名誉权。新闻单位对生产者、经营者、销售者的产品质量或者服务质量进行批评、评论,内容基本属实,没有侮辱内容的,不应当认定为侵害名誉权;主要内容失实,损害其名誉的,应当认定为侵害名誉权。</w:t>
      </w:r>
    </w:p>
    <w:p w:rsidR="0059702A" w:rsidRPr="00652B36" w:rsidRDefault="0059702A" w:rsidP="00652B3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 w:hint="eastAsia"/>
          <w:b/>
          <w:szCs w:val="21"/>
        </w:rPr>
        <w:t>【素养培育】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甲村和乙村相邻,一条小河流经甲、乙两村,一年天旱,上游的甲村便在小河上筑起水坝,将水截住,乙村对此不满,两村发生纠纷。关于此事,下列说法正确的是(　　)。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A.甲村位于河道的上游,有权截水自用,乙村不能干涉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B.甲村将水截住违反了民法典关于正确处理相邻关系的原则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C.甲村</w:t>
      </w:r>
      <w:proofErr w:type="gramStart"/>
      <w:r w:rsidRPr="00652B36">
        <w:rPr>
          <w:rFonts w:asciiTheme="majorEastAsia" w:eastAsiaTheme="majorEastAsia" w:hAnsiTheme="majorEastAsia"/>
          <w:szCs w:val="21"/>
        </w:rPr>
        <w:t>用水须经乙</w:t>
      </w:r>
      <w:proofErr w:type="gramEnd"/>
      <w:r w:rsidRPr="00652B36">
        <w:rPr>
          <w:rFonts w:asciiTheme="majorEastAsia" w:eastAsiaTheme="majorEastAsia" w:hAnsiTheme="majorEastAsia"/>
          <w:szCs w:val="21"/>
        </w:rPr>
        <w:t>村许可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D.乙村</w:t>
      </w:r>
      <w:proofErr w:type="gramStart"/>
      <w:r w:rsidRPr="00652B36">
        <w:rPr>
          <w:rFonts w:asciiTheme="majorEastAsia" w:eastAsiaTheme="majorEastAsia" w:hAnsiTheme="majorEastAsia"/>
          <w:szCs w:val="21"/>
        </w:rPr>
        <w:t>用水须</w:t>
      </w:r>
      <w:proofErr w:type="gramEnd"/>
      <w:r w:rsidRPr="00652B36">
        <w:rPr>
          <w:rFonts w:asciiTheme="majorEastAsia" w:eastAsiaTheme="majorEastAsia" w:hAnsiTheme="majorEastAsia"/>
          <w:szCs w:val="21"/>
        </w:rPr>
        <w:t>经甲村许可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解析　民法典规定,不动产的相邻各方,应当按照有利生产、方便生活、团结互助、公平合理的原则,正确处理截水、排水、通行、通风、采光等方面的相邻关系,B符合题意。A、C、D说法错误,均排除。</w:t>
      </w:r>
    </w:p>
    <w:p w:rsidR="002946A8" w:rsidRPr="00652B36" w:rsidRDefault="002946A8" w:rsidP="00652B36">
      <w:pPr>
        <w:spacing w:line="3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答案　B</w:t>
      </w:r>
    </w:p>
    <w:p w:rsidR="0059702A" w:rsidRPr="00652B36" w:rsidRDefault="0059702A" w:rsidP="00652B36">
      <w:pPr>
        <w:spacing w:line="380" w:lineRule="exact"/>
        <w:rPr>
          <w:rFonts w:asciiTheme="majorEastAsia" w:eastAsiaTheme="majorEastAsia" w:hAnsiTheme="majorEastAsia"/>
          <w:b/>
          <w:szCs w:val="21"/>
        </w:rPr>
      </w:pPr>
      <w:r w:rsidRPr="00652B36">
        <w:rPr>
          <w:rFonts w:asciiTheme="majorEastAsia" w:eastAsiaTheme="majorEastAsia" w:hAnsiTheme="majorEastAsia" w:hint="eastAsia"/>
          <w:b/>
          <w:szCs w:val="21"/>
        </w:rPr>
        <w:t>【课堂巩固】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1.某记者在报纸上发表文章,夸大其词地宣称,有关研究表明,某品牌矿泉水的矿化、磁化、灭菌装置有害人的身体健康,提醒消费者要“慎用”“当心”。后来,经相关机构检测证明,该品牌矿泉水对人体健康并不构成伤害。该记者的上述做法(　　)。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A.正确,公民有言论自由的权利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B.错误,夸大了消费者的知情权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C.正确,行使了消费者的批评监督权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D.错误,报道失实,侵害了该矿泉水生产企业的名誉权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2.小李在商场购买正版光盘用于自己欣赏。该情形(　　)。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①侵犯了著作权　②未侵犯著作权　③属于合理使用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④属于法定许可使用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A.①③</w:t>
      </w:r>
      <w:r w:rsidRPr="00652B36">
        <w:rPr>
          <w:rFonts w:asciiTheme="majorEastAsia" w:eastAsiaTheme="majorEastAsia" w:hAnsiTheme="majorEastAsia"/>
          <w:szCs w:val="21"/>
        </w:rPr>
        <w:tab/>
        <w:t>B.①④</w:t>
      </w:r>
      <w:r w:rsidRPr="00652B36">
        <w:rPr>
          <w:rFonts w:asciiTheme="majorEastAsia" w:eastAsiaTheme="majorEastAsia" w:hAnsiTheme="majorEastAsia"/>
          <w:szCs w:val="21"/>
        </w:rPr>
        <w:tab/>
        <w:t>C.②③</w:t>
      </w:r>
      <w:r w:rsidRPr="00652B36">
        <w:rPr>
          <w:rFonts w:asciiTheme="majorEastAsia" w:eastAsiaTheme="majorEastAsia" w:hAnsiTheme="majorEastAsia"/>
          <w:szCs w:val="21"/>
        </w:rPr>
        <w:tab/>
        <w:t>D.②④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3.某报刊转载其他报刊上发表的作品,按规定支付了报酬。该情形(　　)。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①侵犯了著作权　②未侵犯著作权　③属于合理使用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④属于法定许可使用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A.①③</w:t>
      </w:r>
      <w:r w:rsidRPr="00652B36">
        <w:rPr>
          <w:rFonts w:asciiTheme="majorEastAsia" w:eastAsiaTheme="majorEastAsia" w:hAnsiTheme="majorEastAsia"/>
          <w:szCs w:val="21"/>
        </w:rPr>
        <w:tab/>
        <w:t>B.①④</w:t>
      </w:r>
      <w:r w:rsidRPr="00652B36">
        <w:rPr>
          <w:rFonts w:asciiTheme="majorEastAsia" w:eastAsiaTheme="majorEastAsia" w:hAnsiTheme="majorEastAsia"/>
          <w:szCs w:val="21"/>
        </w:rPr>
        <w:tab/>
        <w:t>C.②③</w:t>
      </w:r>
      <w:r w:rsidRPr="00652B36">
        <w:rPr>
          <w:rFonts w:asciiTheme="majorEastAsia" w:eastAsiaTheme="majorEastAsia" w:hAnsiTheme="majorEastAsia"/>
          <w:szCs w:val="21"/>
        </w:rPr>
        <w:tab/>
        <w:t>D.②④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4.甲乙系邻居,</w:t>
      </w:r>
      <w:proofErr w:type="gramStart"/>
      <w:r w:rsidRPr="00652B36">
        <w:rPr>
          <w:rFonts w:asciiTheme="majorEastAsia" w:eastAsiaTheme="majorEastAsia" w:hAnsiTheme="majorEastAsia"/>
          <w:szCs w:val="21"/>
        </w:rPr>
        <w:t>乙每周末</w:t>
      </w:r>
      <w:proofErr w:type="gramEnd"/>
      <w:r w:rsidRPr="00652B36">
        <w:rPr>
          <w:rFonts w:asciiTheme="majorEastAsia" w:eastAsiaTheme="majorEastAsia" w:hAnsiTheme="majorEastAsia"/>
          <w:szCs w:val="21"/>
        </w:rPr>
        <w:t>都要在家练钢琴,甲的孩子6月要参加高考,为此,甲与乙订立了一份5月至6月高考结束前,乙周末不在家弹钢琴的口头合同。下列说法正确的有(　　)。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①该合同违背了乙的真实意愿　②甲、乙妥善处理了相邻关系　③</w:t>
      </w:r>
      <w:proofErr w:type="gramStart"/>
      <w:r w:rsidRPr="00652B36">
        <w:rPr>
          <w:rFonts w:asciiTheme="majorEastAsia" w:eastAsiaTheme="majorEastAsia" w:hAnsiTheme="majorEastAsia"/>
          <w:szCs w:val="21"/>
        </w:rPr>
        <w:t>甲应当给予乙适当</w:t>
      </w:r>
      <w:proofErr w:type="gramEnd"/>
      <w:r w:rsidRPr="00652B36">
        <w:rPr>
          <w:rFonts w:asciiTheme="majorEastAsia" w:eastAsiaTheme="majorEastAsia" w:hAnsiTheme="majorEastAsia"/>
          <w:szCs w:val="21"/>
        </w:rPr>
        <w:t>赔偿　④该合同体现了团结互助的相邻关系处理原则</w:t>
      </w:r>
    </w:p>
    <w:p w:rsidR="002946A8" w:rsidRPr="00652B36" w:rsidRDefault="002946A8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  <w:r w:rsidRPr="00652B36">
        <w:rPr>
          <w:rFonts w:asciiTheme="majorEastAsia" w:eastAsiaTheme="majorEastAsia" w:hAnsiTheme="majorEastAsia"/>
          <w:szCs w:val="21"/>
        </w:rPr>
        <w:t>A.①③</w:t>
      </w:r>
      <w:r w:rsidRPr="00652B36">
        <w:rPr>
          <w:rFonts w:asciiTheme="majorEastAsia" w:eastAsiaTheme="majorEastAsia" w:hAnsiTheme="majorEastAsia"/>
          <w:szCs w:val="21"/>
        </w:rPr>
        <w:tab/>
        <w:t>B.①④</w:t>
      </w:r>
      <w:r w:rsidRPr="00652B36">
        <w:rPr>
          <w:rFonts w:asciiTheme="majorEastAsia" w:eastAsiaTheme="majorEastAsia" w:hAnsiTheme="majorEastAsia"/>
          <w:szCs w:val="21"/>
        </w:rPr>
        <w:tab/>
        <w:t>C.②③</w:t>
      </w:r>
      <w:r w:rsidRPr="00652B36">
        <w:rPr>
          <w:rFonts w:asciiTheme="majorEastAsia" w:eastAsiaTheme="majorEastAsia" w:hAnsiTheme="majorEastAsia"/>
          <w:szCs w:val="21"/>
        </w:rPr>
        <w:tab/>
        <w:t>D.②④</w:t>
      </w:r>
    </w:p>
    <w:p w:rsidR="006F5C9B" w:rsidRPr="00652B36" w:rsidRDefault="006F5C9B" w:rsidP="00652B3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sectPr w:rsidR="006F5C9B" w:rsidRPr="00652B36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14" w:rsidRDefault="00F86E14" w:rsidP="009B5D4D">
      <w:r>
        <w:separator/>
      </w:r>
    </w:p>
  </w:endnote>
  <w:endnote w:type="continuationSeparator" w:id="0">
    <w:p w:rsidR="00F86E14" w:rsidRDefault="00F86E14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F86E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251B4E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251B4E">
                      <w:rPr>
                        <w:rStyle w:val="a5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14" w:rsidRDefault="00F86E14" w:rsidP="009B5D4D">
      <w:r>
        <w:separator/>
      </w:r>
    </w:p>
  </w:footnote>
  <w:footnote w:type="continuationSeparator" w:id="0">
    <w:p w:rsidR="00F86E14" w:rsidRDefault="00F86E14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59702A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r>
      <w:rPr>
        <w:rFonts w:hint="eastAsia"/>
        <w:b/>
        <w:sz w:val="21"/>
      </w:rPr>
      <w:t>4.2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A4238"/>
    <w:rsid w:val="000A770C"/>
    <w:rsid w:val="000B5C7A"/>
    <w:rsid w:val="000E04A2"/>
    <w:rsid w:val="000F1CD1"/>
    <w:rsid w:val="001F7C9A"/>
    <w:rsid w:val="00251B4E"/>
    <w:rsid w:val="0026024A"/>
    <w:rsid w:val="0028203C"/>
    <w:rsid w:val="002946A8"/>
    <w:rsid w:val="0038612E"/>
    <w:rsid w:val="00436E38"/>
    <w:rsid w:val="0059702A"/>
    <w:rsid w:val="005D702F"/>
    <w:rsid w:val="005E42EB"/>
    <w:rsid w:val="006513E5"/>
    <w:rsid w:val="00652B36"/>
    <w:rsid w:val="00666E00"/>
    <w:rsid w:val="006A43AD"/>
    <w:rsid w:val="006F5C9B"/>
    <w:rsid w:val="00707178"/>
    <w:rsid w:val="00772105"/>
    <w:rsid w:val="007B15E7"/>
    <w:rsid w:val="008E03E9"/>
    <w:rsid w:val="00903F5F"/>
    <w:rsid w:val="00906C2D"/>
    <w:rsid w:val="009109D4"/>
    <w:rsid w:val="00980590"/>
    <w:rsid w:val="009874F3"/>
    <w:rsid w:val="009B5D4D"/>
    <w:rsid w:val="00A635E5"/>
    <w:rsid w:val="00A95A73"/>
    <w:rsid w:val="00B52C4B"/>
    <w:rsid w:val="00B538BD"/>
    <w:rsid w:val="00BC42C5"/>
    <w:rsid w:val="00C56C58"/>
    <w:rsid w:val="00D6291C"/>
    <w:rsid w:val="00D80E85"/>
    <w:rsid w:val="00DC7926"/>
    <w:rsid w:val="00E94E04"/>
    <w:rsid w:val="00F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7A1E-F025-4CD6-BDCE-C8D3AB1A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2022-02-18T00:41:00Z</dcterms:created>
  <dcterms:modified xsi:type="dcterms:W3CDTF">2022-03-07T02:08:00Z</dcterms:modified>
</cp:coreProperties>
</file>