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napToGrid w:val="0"/>
        <w:spacing w:line="240" w:lineRule="auto"/>
        <w:jc w:val="center"/>
        <w:outlineLvl w:val="0"/>
        <w:rPr>
          <w:rFonts w:ascii="黑体" w:hAnsi="宋体" w:eastAsia="黑体"/>
          <w:b/>
          <w:sz w:val="28"/>
          <w:szCs w:val="28"/>
        </w:rPr>
      </w:pPr>
      <w:bookmarkStart w:id="0" w:name="_Toc15704"/>
      <w:r>
        <w:rPr>
          <w:rFonts w:hint="eastAsia" w:ascii="黑体" w:hAnsi="宋体" w:eastAsia="黑体"/>
          <w:b/>
          <w:sz w:val="28"/>
          <w:szCs w:val="28"/>
        </w:rPr>
        <w:t>江苏省仪征中学</w:t>
      </w:r>
      <w:bookmarkStart w:id="4" w:name="_GoBack"/>
      <w:bookmarkEnd w:id="4"/>
      <w:r>
        <w:rPr>
          <w:rFonts w:hint="eastAsia" w:ascii="黑体" w:hAnsi="宋体" w:eastAsia="黑体"/>
          <w:b/>
          <w:sz w:val="28"/>
          <w:szCs w:val="28"/>
        </w:rPr>
        <w:t>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/>
          <w:b/>
          <w:sz w:val="28"/>
          <w:szCs w:val="28"/>
        </w:rPr>
        <w:t>学年度第一学期高二物理学科导学案</w:t>
      </w:r>
      <w:bookmarkEnd w:id="0"/>
    </w:p>
    <w:p>
      <w:pPr>
        <w:spacing w:line="240" w:lineRule="auto"/>
        <w:jc w:val="center"/>
        <w:outlineLvl w:val="0"/>
        <w:rPr>
          <w:rFonts w:ascii="黑体" w:hAnsi="黑体" w:eastAsia="黑体" w:cs="黑体"/>
          <w:b/>
          <w:bCs/>
          <w:sz w:val="28"/>
          <w:szCs w:val="28"/>
        </w:rPr>
      </w:pPr>
      <w:bookmarkStart w:id="1" w:name="_Toc31725"/>
      <w:r>
        <w:rPr>
          <w:rFonts w:hint="eastAsia" w:ascii="黑体" w:hAnsi="黑体" w:eastAsia="黑体"/>
          <w:b/>
          <w:bCs/>
          <w:sz w:val="28"/>
          <w:szCs w:val="28"/>
        </w:rPr>
        <w:t>强化训练</w:t>
      </w:r>
      <w:r>
        <w:rPr>
          <w:rFonts w:ascii="黑体" w:hAnsi="黑体" w:eastAsia="黑体"/>
          <w:b/>
          <w:bCs/>
          <w:sz w:val="28"/>
          <w:szCs w:val="28"/>
        </w:rPr>
        <w:t xml:space="preserve">  </w:t>
      </w:r>
      <w:r>
        <w:rPr>
          <w:rFonts w:hint="eastAsia" w:ascii="黑体" w:hAnsi="黑体" w:eastAsia="黑体"/>
          <w:b/>
          <w:bCs/>
          <w:sz w:val="28"/>
          <w:szCs w:val="28"/>
        </w:rPr>
        <w:t>电阻的测量</w:t>
      </w:r>
      <w:bookmarkEnd w:id="1"/>
    </w:p>
    <w:p>
      <w:pPr>
        <w:spacing w:line="240" w:lineRule="auto"/>
        <w:jc w:val="center"/>
        <w:rPr>
          <w:rFonts w:hint="eastAsia" w:ascii="楷体" w:hAnsi="楷体" w:eastAsia="楷体"/>
          <w:sz w:val="24"/>
          <w:lang w:eastAsia="zh-CN"/>
        </w:rPr>
      </w:pPr>
      <w:r>
        <w:rPr>
          <w:rFonts w:hint="eastAsia" w:ascii="楷体" w:hAnsi="楷体" w:eastAsia="楷体"/>
          <w:sz w:val="24"/>
        </w:rPr>
        <w:t>研制人：</w:t>
      </w:r>
      <w:r>
        <w:rPr>
          <w:rFonts w:hint="eastAsia" w:ascii="楷体" w:hAnsi="楷体" w:eastAsia="楷体"/>
          <w:sz w:val="24"/>
          <w:lang w:eastAsia="zh-CN"/>
        </w:rPr>
        <w:t>付克文</w:t>
      </w:r>
      <w:r>
        <w:rPr>
          <w:rFonts w:hint="eastAsia" w:ascii="楷体" w:hAnsi="楷体" w:eastAsia="楷体"/>
          <w:sz w:val="24"/>
        </w:rPr>
        <w:t xml:space="preserve">       审核人：</w:t>
      </w:r>
      <w:r>
        <w:rPr>
          <w:rFonts w:hint="eastAsia" w:ascii="楷体" w:hAnsi="楷体" w:eastAsia="楷体"/>
          <w:sz w:val="24"/>
          <w:lang w:eastAsia="zh-CN"/>
        </w:rPr>
        <w:t>周福林</w:t>
      </w:r>
    </w:p>
    <w:p>
      <w:pPr>
        <w:spacing w:line="240" w:lineRule="auto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______授课日期：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2024-9-11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</w:t>
      </w:r>
      <w:r>
        <w:rPr>
          <w:rFonts w:hint="eastAsia" w:ascii="楷体" w:hAnsi="楷体" w:eastAsia="楷体" w:cs="楷体"/>
          <w:bCs/>
          <w:sz w:val="24"/>
        </w:rPr>
        <w:t xml:space="preserve">       </w:t>
      </w:r>
    </w:p>
    <w:p>
      <w:pPr>
        <w:spacing w:line="240" w:lineRule="auto"/>
        <w:rPr>
          <w:rFonts w:ascii="宋体" w:hAnsi="宋体"/>
        </w:rPr>
      </w:pPr>
      <w:r>
        <w:rPr>
          <w:rFonts w:hint="eastAsia" w:ascii="宋体" w:hAnsi="宋体"/>
        </w:rPr>
        <w:t>本课在课程标准中的表述：会测量电阻</w:t>
      </w:r>
      <w:r>
        <w:t>．</w:t>
      </w:r>
    </w:p>
    <w:p>
      <w:pPr>
        <w:pStyle w:val="13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>　</w:t>
      </w:r>
    </w:p>
    <w:p>
      <w:pPr>
        <w:pStyle w:val="13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1.建立伏安法测电阻的电路模型，进一步理解电流表内接法、外接法及滑动变阻器的限流式接法和分压式接法，并能在具体问题中正确选择.</w:t>
      </w:r>
    </w:p>
    <w:p>
      <w:pPr>
        <w:pStyle w:val="13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2.学会用替代法、半偏法及电桥法测电阻．</w:t>
      </w:r>
    </w:p>
    <w:p>
      <w:pPr>
        <w:pStyle w:val="13"/>
        <w:tabs>
          <w:tab w:val="left" w:pos="3544"/>
        </w:tabs>
        <w:snapToGrid w:val="0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课前预习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  <w:r>
        <w:rPr>
          <w:rFonts w:ascii="Times New Roman" w:hAnsi="Times New Roman" w:cs="Times New Roman"/>
        </w:rPr>
        <w:t xml:space="preserve"> 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一、伏安法测电阻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例1：</w:t>
      </w:r>
      <w:r>
        <w:rPr>
          <w:rFonts w:ascii="Times New Roman" w:hAnsi="Times New Roman" w:cs="Times New Roman"/>
        </w:rPr>
        <w:t>某同学通过实验测定一个阻值约为5 Ω的电阻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的阻值．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(1)现有电源(4 V)、滑动变阻器(0～50 Ω，额定电流2 A)、开关和导线若干，以及下列电表：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A．电流表(0～3 A，内阻约0.025 Ω)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B．电流表(0～0.6 A，内阻约0.125 Ω)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C．电压表(0～3 V，内阻约3 kΩ)</w:t>
      </w:r>
    </w:p>
    <w:p>
      <w:pPr>
        <w:pStyle w:val="13"/>
        <w:tabs>
          <w:tab w:val="left" w:pos="3402"/>
        </w:tabs>
        <w:snapToGrid w:val="0"/>
        <w:spacing w:line="240" w:lineRule="auto"/>
        <w:outlineLvl w:val="0"/>
        <w:rPr>
          <w:rFonts w:ascii="Times New Roman" w:hAnsi="Times New Roman" w:cs="Times New Roman"/>
        </w:rPr>
      </w:pPr>
      <w:bookmarkStart w:id="2" w:name="_Toc11634"/>
      <w:r>
        <w:rPr>
          <w:rFonts w:ascii="Times New Roman" w:hAnsi="Times New Roman" w:cs="Times New Roman"/>
        </w:rPr>
        <w:t>D．电压表(0～15 V，内阻约15 kΩ)</w:t>
      </w:r>
      <w:bookmarkEnd w:id="2"/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3961130</wp:posOffset>
            </wp:positionH>
            <wp:positionV relativeFrom="paragraph">
              <wp:posOffset>220345</wp:posOffset>
            </wp:positionV>
            <wp:extent cx="1494155" cy="1107440"/>
            <wp:effectExtent l="0" t="0" r="14605" b="5080"/>
            <wp:wrapTight wrapText="bothSides">
              <wp:wrapPolygon>
                <wp:start x="0" y="0"/>
                <wp:lineTo x="0" y="21402"/>
                <wp:lineTo x="21371" y="21402"/>
                <wp:lineTo x="21371" y="0"/>
                <wp:lineTo x="0" y="0"/>
              </wp:wrapPolygon>
            </wp:wrapTight>
            <wp:docPr id="198" name="图片 60" descr="A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60" descr="A4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485140</wp:posOffset>
            </wp:positionV>
            <wp:extent cx="2276475" cy="885825"/>
            <wp:effectExtent l="0" t="0" r="9525" b="13335"/>
            <wp:wrapTight wrapText="bothSides">
              <wp:wrapPolygon>
                <wp:start x="0" y="0"/>
                <wp:lineTo x="0" y="21182"/>
                <wp:lineTo x="21401" y="21182"/>
                <wp:lineTo x="21401" y="0"/>
                <wp:lineTo x="0" y="0"/>
              </wp:wrapPolygon>
            </wp:wrapTight>
            <wp:docPr id="202" name="图片 61" descr="A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61" descr="A48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为减小测量误差，在实验中，电流表应选用__________，电压表应选用__________(选填器材前的字母)，实验电路应采用图中的________(选填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甲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乙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(2)图是测量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的实验器材实物图，图中已连接了部分导线．请根据在(1)问中所选的电路图，补充完成图中实物间的连线．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1602105</wp:posOffset>
            </wp:positionH>
            <wp:positionV relativeFrom="paragraph">
              <wp:posOffset>503555</wp:posOffset>
            </wp:positionV>
            <wp:extent cx="2684145" cy="741045"/>
            <wp:effectExtent l="0" t="0" r="13335" b="5715"/>
            <wp:wrapTight wrapText="bothSides">
              <wp:wrapPolygon>
                <wp:start x="0" y="0"/>
                <wp:lineTo x="0" y="21322"/>
                <wp:lineTo x="21462" y="21322"/>
                <wp:lineTo x="21462" y="0"/>
                <wp:lineTo x="0" y="0"/>
              </wp:wrapPolygon>
            </wp:wrapTight>
            <wp:docPr id="197" name="图片 62" descr="A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62" descr="A48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414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(3)接通开关，改变滑动变阻器滑片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的位置，并记录对应的电流表示数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、电压表示数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.某次两电表示数如图所示，可得该电阻的测量值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＝________ Ω(保留2位有效数字)．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(4)若在(1)问中选用甲电路，产生误差的主要原因是__________；若在(1)问中选用乙电路，产生误差的主要原因是__________．(均选填选项前的字母)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A．电流表测量值小于流经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的电流值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B．电流表测量值大于流经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的电流值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C．电压表测量值小于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两端的电压值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D．电压表测量值大于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两端的电压值</w:t>
      </w:r>
    </w:p>
    <w:p>
      <w:pPr>
        <w:pStyle w:val="13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课堂学习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二、替代法测电阻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黑体" w:hAnsi="黑体" w:eastAsia="黑体"/>
          <w:b/>
          <w:bCs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4608195</wp:posOffset>
            </wp:positionH>
            <wp:positionV relativeFrom="paragraph">
              <wp:posOffset>332740</wp:posOffset>
            </wp:positionV>
            <wp:extent cx="1473200" cy="1017905"/>
            <wp:effectExtent l="0" t="0" r="5080" b="3175"/>
            <wp:wrapTight wrapText="bothSides">
              <wp:wrapPolygon>
                <wp:start x="0" y="0"/>
                <wp:lineTo x="0" y="21344"/>
                <wp:lineTo x="21451" y="21344"/>
                <wp:lineTo x="21451" y="0"/>
                <wp:lineTo x="0" y="0"/>
              </wp:wrapPolygon>
            </wp:wrapTight>
            <wp:docPr id="201" name="图片 63" descr="A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图片 63" descr="A49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实验原理：如图所示，闭合S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，调节</w:t>
      </w:r>
      <w:r>
        <w:rPr>
          <w:rFonts w:ascii="Times New Roman" w:hAnsi="Times New Roman" w:cs="Times New Roman"/>
          <w:i/>
        </w:rPr>
        <w:t>R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，使电流表A的示数为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；S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接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，保持</w:t>
      </w:r>
      <w:r>
        <w:rPr>
          <w:rFonts w:ascii="Times New Roman" w:hAnsi="Times New Roman" w:cs="Times New Roman"/>
          <w:i/>
        </w:rPr>
        <w:t>R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不变，调节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使电流表A的示数仍为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，记下此时电阻箱的阻值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，则待测电阻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.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例2：</w:t>
      </w:r>
      <w:r>
        <w:rPr>
          <w:rFonts w:ascii="Times New Roman" w:hAnsi="Times New Roman" w:cs="Times New Roman"/>
        </w:rPr>
        <w:t>某同学用如图所示的电路测量灵敏电流计G的内阻：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(1)请在乙图中将实物连线补充完整；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1480185</wp:posOffset>
            </wp:positionH>
            <wp:positionV relativeFrom="paragraph">
              <wp:posOffset>140970</wp:posOffset>
            </wp:positionV>
            <wp:extent cx="2842260" cy="1097915"/>
            <wp:effectExtent l="0" t="0" r="0" b="6985"/>
            <wp:wrapTight wrapText="bothSides">
              <wp:wrapPolygon>
                <wp:start x="0" y="0"/>
                <wp:lineTo x="0" y="21363"/>
                <wp:lineTo x="21426" y="21363"/>
                <wp:lineTo x="21426" y="0"/>
                <wp:lineTo x="0" y="0"/>
              </wp:wrapPolygon>
            </wp:wrapTight>
            <wp:docPr id="203" name="图片 64" descr="A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64" descr="A49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(2)闭合开关S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后，将单刀双掷开关S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置于位置1，调节滑动变阻器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的阻值，使电流表G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有适当示数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；然后保持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的阻值不变，将开关S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置于位置2，调节电阻箱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，使电流表G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示数仍为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.若此时电阻箱阻值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＝200 Ω，则灵敏电流计G的内阻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g</w:t>
      </w:r>
      <w:r>
        <w:rPr>
          <w:rFonts w:ascii="Times New Roman" w:hAnsi="Times New Roman" w:cs="Times New Roman"/>
        </w:rPr>
        <w:t>＝________ Ω.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4469130</wp:posOffset>
            </wp:positionH>
            <wp:positionV relativeFrom="paragraph">
              <wp:posOffset>181610</wp:posOffset>
            </wp:positionV>
            <wp:extent cx="1076325" cy="695325"/>
            <wp:effectExtent l="0" t="0" r="5715" b="5715"/>
            <wp:wrapTight wrapText="bothSides">
              <wp:wrapPolygon>
                <wp:start x="0" y="0"/>
                <wp:lineTo x="0" y="21304"/>
                <wp:lineTo x="21409" y="21304"/>
                <wp:lineTo x="21409" y="0"/>
                <wp:lineTo x="0" y="0"/>
              </wp:wrapPolygon>
            </wp:wrapTight>
            <wp:docPr id="205" name="图片 65" descr="A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65" descr="A49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Times New Roman"/>
          <w:b/>
          <w:bCs/>
        </w:rPr>
        <w:t>三、半偏法测电表内阻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1.“半偏法”测电流表的内阻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测量原理：实验电路如图所示．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(1)闭合开关S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前，将滑动变阻器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、电阻箱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的阻值调到最大；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(2)闭合开关S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，调节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使电流表A的指针满偏；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(3)再合开关S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，保持滑动变阻器滑片的位置不变，调节电阻箱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的阻值，使电流表A的指针半偏；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4597400</wp:posOffset>
            </wp:positionH>
            <wp:positionV relativeFrom="paragraph">
              <wp:posOffset>36195</wp:posOffset>
            </wp:positionV>
            <wp:extent cx="1009650" cy="904875"/>
            <wp:effectExtent l="0" t="0" r="11430" b="9525"/>
            <wp:wrapTight wrapText="bothSides">
              <wp:wrapPolygon>
                <wp:start x="0" y="0"/>
                <wp:lineTo x="0" y="21100"/>
                <wp:lineTo x="21192" y="21100"/>
                <wp:lineTo x="21192" y="0"/>
                <wp:lineTo x="0" y="0"/>
              </wp:wrapPolygon>
            </wp:wrapTight>
            <wp:docPr id="204" name="图片 66" descr="A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66" descr="A4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(4)读取电阻箱的阻值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.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注意：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接入阻值越大，误差越小，故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应选择总阻值较大的．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2．“半偏法”测电压表的内阻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测量原理：实验电路如图所示．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(1)闭合开关S之前，电阻箱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的阻值调到零，滑动变阻器</w:t>
      </w:r>
      <w:r>
        <w:rPr>
          <w:rFonts w:ascii="Times New Roman" w:hAnsi="Times New Roman" w:cs="Times New Roman"/>
          <w:i/>
        </w:rPr>
        <w:t>R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的滑片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滑到左端；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(2)闭合开关S，调节滑片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的位置使电压表V的指针满偏；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4733290</wp:posOffset>
            </wp:positionH>
            <wp:positionV relativeFrom="paragraph">
              <wp:posOffset>194310</wp:posOffset>
            </wp:positionV>
            <wp:extent cx="1148715" cy="1289685"/>
            <wp:effectExtent l="0" t="0" r="9525" b="5715"/>
            <wp:wrapTight wrapText="bothSides">
              <wp:wrapPolygon>
                <wp:start x="0" y="0"/>
                <wp:lineTo x="0" y="21440"/>
                <wp:lineTo x="21206" y="21440"/>
                <wp:lineTo x="21206" y="0"/>
                <wp:lineTo x="0" y="0"/>
              </wp:wrapPolygon>
            </wp:wrapTight>
            <wp:docPr id="208" name="图片 67" descr="A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67" descr="A49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(3)保持滑动变阻器滑片位置不变，再调节电阻箱的阻值，使电压表V的指针半偏；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(4)读取电阻箱的阻值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，则有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.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注意：</w:t>
      </w:r>
      <w:r>
        <w:rPr>
          <w:rFonts w:ascii="Times New Roman" w:hAnsi="Times New Roman" w:cs="Times New Roman"/>
          <w:i/>
        </w:rPr>
        <w:t>R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应选总阻值较小的，有利于减小实验误差．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例3：</w:t>
      </w:r>
      <w:r>
        <w:rPr>
          <w:rFonts w:ascii="Times New Roman" w:hAnsi="Times New Roman" w:cs="Times New Roman"/>
        </w:rPr>
        <w:t>某学习兴趣小组欲采用如图所示电路测量电压表的内阻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V</w:t>
      </w:r>
      <w:r>
        <w:rPr>
          <w:rFonts w:ascii="Times New Roman" w:hAnsi="Times New Roman" w:cs="Times New Roman"/>
        </w:rPr>
        <w:t>，待测电压表的量程为 1 V，内阻约为1 000 Ω.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(1)在备选的甲、乙两个滑动变阻器的铭牌上分别标有(200 Ω　1 A)、(10 Ω　2 A)，为尽可能提高测量精度且便于调节，滑动变阻器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应选用________(选填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甲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乙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(2)同学们的实验步骤如下，请将步骤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补充完整：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.正确连接好电路后，在闭合开关之前，将滑动变阻器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的滑片移到________(选填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最左端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最右端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.闭合开关S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，调节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，使电压表指针指到1 V刻度处．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.保持S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闭合、滑动变阻器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的滑片位置不变，断开S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，调整电阻箱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的阻值，使电压表的指针指到0.5 V刻度处，此时电阻箱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的示数为990 Ω.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(3)该电压表内阻的测量值为________ Ω.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4426585</wp:posOffset>
            </wp:positionH>
            <wp:positionV relativeFrom="paragraph">
              <wp:posOffset>291465</wp:posOffset>
            </wp:positionV>
            <wp:extent cx="1577975" cy="1303020"/>
            <wp:effectExtent l="0" t="0" r="6985" b="7620"/>
            <wp:wrapTight wrapText="bothSides">
              <wp:wrapPolygon>
                <wp:start x="0" y="0"/>
                <wp:lineTo x="0" y="21474"/>
                <wp:lineTo x="21487" y="21474"/>
                <wp:lineTo x="21487" y="0"/>
                <wp:lineTo x="0" y="0"/>
              </wp:wrapPolygon>
            </wp:wrapTight>
            <wp:docPr id="210" name="图片 68" descr="A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68" descr="A49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例4：</w:t>
      </w:r>
      <w:r>
        <w:rPr>
          <w:rFonts w:ascii="Times New Roman" w:hAnsi="Times New Roman" w:cs="Times New Roman"/>
        </w:rPr>
        <w:t>某物理兴趣小组要将一个内阻未知的电流表改装成量程为3 V的电压表，为此他们用图所示电路测定该电流表的内阻，实验室可提供的器材如下：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A．电流表G：满偏电流为300 μA，内阻未知；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B．干电池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：3 V；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C．滑动变阻器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：最大阻值约为5 kΩ，额定电流为1 A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D．滑动变阻器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：最大阻值为16 kΩ，额定电流为0.5 A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E．电阻箱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：阻值范围0～9 999.9 Ω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F．开关两个，导线若干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(1)滑动变阻器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应选用________(选填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C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D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)，将开关S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都断开，连接好实物图，使滑动变阻器接入电路的电阻达到最大后，闭合开关S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，移动滑动变阻器的滑片，使电流表G的示数为200 μA.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(2)闭合开关S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，调节电阻箱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的阻值为100 Ω时电流表G的示数为100 μA，则电流表G的内阻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g</w:t>
      </w:r>
      <w:r>
        <w:rPr>
          <w:rFonts w:ascii="Times New Roman" w:hAnsi="Times New Roman" w:cs="Times New Roman"/>
        </w:rPr>
        <w:t>＝________ Ω.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(3)将该电流表改装成量程为3 V的电压表，需串联电阻的阻值为________ Ω.</w:t>
      </w: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pStyle w:val="13"/>
        <w:snapToGrid w:val="0"/>
        <w:spacing w:line="240" w:lineRule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ascii="黑体" w:hAnsi="黑体" w:eastAsia="黑体"/>
          <w:b/>
          <w:bCs/>
          <w:sz w:val="24"/>
          <w:szCs w:val="24"/>
        </w:rPr>
        <w:t>_________________________________________________________________</w:t>
      </w:r>
    </w:p>
    <w:p>
      <w:pPr>
        <w:widowControl/>
        <w:spacing w:line="240" w:lineRule="auto"/>
        <w:jc w:val="left"/>
        <w:rPr>
          <w:rFonts w:hint="eastAsia" w:ascii="黑体" w:hAnsi="黑体" w:eastAsia="黑体"/>
          <w:b/>
          <w:bCs/>
          <w:sz w:val="24"/>
        </w:rPr>
      </w:pP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__________________________________________________________________________</w:t>
      </w:r>
      <w:bookmarkStart w:id="3" w:name="_Toc6942"/>
      <w:bookmarkEnd w:id="3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2559804"/>
      <w:docPartObj>
        <w:docPartGallery w:val="autotext"/>
      </w:docPartObj>
    </w:sdtPr>
    <w:sdtContent>
      <w:p>
        <w:pPr>
          <w:pStyle w:val="15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2YjIyNDVlYzc1NzczYzc5NzEyZWRhYmRiOGVjZmMifQ=="/>
    <w:docVar w:name="KSO_WPS_MARK_KEY" w:val="1f41c99d-c501-4388-8b3a-3b941f84d2c1"/>
  </w:docVars>
  <w:rsids>
    <w:rsidRoot w:val="00571A7E"/>
    <w:rsid w:val="002535A4"/>
    <w:rsid w:val="002731A2"/>
    <w:rsid w:val="002C7D68"/>
    <w:rsid w:val="00435D05"/>
    <w:rsid w:val="00435F80"/>
    <w:rsid w:val="0044681E"/>
    <w:rsid w:val="00480E8D"/>
    <w:rsid w:val="004D3CDD"/>
    <w:rsid w:val="0050154E"/>
    <w:rsid w:val="005667A5"/>
    <w:rsid w:val="00571A7E"/>
    <w:rsid w:val="005F7962"/>
    <w:rsid w:val="00697D16"/>
    <w:rsid w:val="006D7600"/>
    <w:rsid w:val="00754B6F"/>
    <w:rsid w:val="007650EF"/>
    <w:rsid w:val="007877C0"/>
    <w:rsid w:val="007D757B"/>
    <w:rsid w:val="00855F25"/>
    <w:rsid w:val="008B13AF"/>
    <w:rsid w:val="00904B5B"/>
    <w:rsid w:val="00973FE8"/>
    <w:rsid w:val="00A956F4"/>
    <w:rsid w:val="00AB477F"/>
    <w:rsid w:val="00C7582B"/>
    <w:rsid w:val="00C82E62"/>
    <w:rsid w:val="00C82EFD"/>
    <w:rsid w:val="00CA0135"/>
    <w:rsid w:val="00E22691"/>
    <w:rsid w:val="0D1D48E2"/>
    <w:rsid w:val="13E94C69"/>
    <w:rsid w:val="15A755D9"/>
    <w:rsid w:val="1C365BD4"/>
    <w:rsid w:val="23121BF0"/>
    <w:rsid w:val="3C781B46"/>
    <w:rsid w:val="4E3D05C6"/>
    <w:rsid w:val="6644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4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35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6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7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8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23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7"/>
    <w:basedOn w:val="1"/>
    <w:next w:val="1"/>
    <w:unhideWhenUsed/>
    <w:qFormat/>
    <w:uiPriority w:val="39"/>
    <w:pPr>
      <w:ind w:left="1050"/>
      <w:jc w:val="left"/>
    </w:pPr>
    <w:rPr>
      <w:rFonts w:asciiTheme="minorHAnsi" w:eastAsiaTheme="minorHAnsi"/>
      <w:sz w:val="20"/>
      <w:szCs w:val="20"/>
    </w:rPr>
  </w:style>
  <w:style w:type="paragraph" w:styleId="11">
    <w:name w:val="toc 5"/>
    <w:basedOn w:val="1"/>
    <w:next w:val="1"/>
    <w:unhideWhenUsed/>
    <w:qFormat/>
    <w:uiPriority w:val="39"/>
    <w:pPr>
      <w:ind w:left="630"/>
      <w:jc w:val="left"/>
    </w:pPr>
    <w:rPr>
      <w:rFonts w:asciiTheme="minorHAnsi" w:eastAsiaTheme="minorHAnsi"/>
      <w:sz w:val="20"/>
      <w:szCs w:val="20"/>
    </w:rPr>
  </w:style>
  <w:style w:type="paragraph" w:styleId="12">
    <w:name w:val="toc 3"/>
    <w:basedOn w:val="1"/>
    <w:next w:val="1"/>
    <w:unhideWhenUsed/>
    <w:qFormat/>
    <w:uiPriority w:val="39"/>
    <w:pPr>
      <w:ind w:left="210"/>
      <w:jc w:val="left"/>
    </w:pPr>
    <w:rPr>
      <w:rFonts w:asciiTheme="minorHAnsi" w:eastAsiaTheme="minorHAnsi"/>
      <w:sz w:val="20"/>
      <w:szCs w:val="20"/>
    </w:rPr>
  </w:style>
  <w:style w:type="paragraph" w:styleId="13">
    <w:name w:val="Plain Text"/>
    <w:basedOn w:val="1"/>
    <w:link w:val="26"/>
    <w:qFormat/>
    <w:uiPriority w:val="0"/>
    <w:rPr>
      <w:rFonts w:ascii="宋体" w:hAnsi="Courier New" w:cs="Courier New"/>
      <w:szCs w:val="21"/>
    </w:rPr>
  </w:style>
  <w:style w:type="paragraph" w:styleId="14">
    <w:name w:val="toc 8"/>
    <w:basedOn w:val="1"/>
    <w:next w:val="1"/>
    <w:unhideWhenUsed/>
    <w:qFormat/>
    <w:uiPriority w:val="39"/>
    <w:pPr>
      <w:ind w:left="1260"/>
      <w:jc w:val="left"/>
    </w:pPr>
    <w:rPr>
      <w:rFonts w:asciiTheme="minorHAnsi" w:eastAsiaTheme="minorHAnsi"/>
      <w:sz w:val="20"/>
      <w:szCs w:val="20"/>
    </w:rPr>
  </w:style>
  <w:style w:type="paragraph" w:styleId="15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4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  <w:pPr>
      <w:spacing w:before="360"/>
      <w:jc w:val="left"/>
    </w:pPr>
    <w:rPr>
      <w:rFonts w:asciiTheme="majorHAnsi" w:eastAsiaTheme="majorHAnsi"/>
      <w:b/>
      <w:bCs/>
      <w:caps/>
      <w:sz w:val="24"/>
    </w:rPr>
  </w:style>
  <w:style w:type="paragraph" w:styleId="18">
    <w:name w:val="toc 4"/>
    <w:basedOn w:val="1"/>
    <w:next w:val="1"/>
    <w:unhideWhenUsed/>
    <w:qFormat/>
    <w:uiPriority w:val="39"/>
    <w:pPr>
      <w:ind w:left="420"/>
      <w:jc w:val="left"/>
    </w:pPr>
    <w:rPr>
      <w:rFonts w:asciiTheme="minorHAnsi" w:eastAsiaTheme="minorHAnsi"/>
      <w:sz w:val="20"/>
      <w:szCs w:val="20"/>
    </w:rPr>
  </w:style>
  <w:style w:type="paragraph" w:styleId="19">
    <w:name w:val="toc 6"/>
    <w:basedOn w:val="1"/>
    <w:next w:val="1"/>
    <w:unhideWhenUsed/>
    <w:qFormat/>
    <w:uiPriority w:val="39"/>
    <w:pPr>
      <w:ind w:left="840"/>
      <w:jc w:val="left"/>
    </w:pPr>
    <w:rPr>
      <w:rFonts w:asciiTheme="minorHAnsi" w:eastAsiaTheme="minorHAnsi"/>
      <w:sz w:val="20"/>
      <w:szCs w:val="20"/>
    </w:rPr>
  </w:style>
  <w:style w:type="paragraph" w:styleId="20">
    <w:name w:val="toc 2"/>
    <w:basedOn w:val="1"/>
    <w:next w:val="1"/>
    <w:unhideWhenUsed/>
    <w:qFormat/>
    <w:uiPriority w:val="39"/>
    <w:pPr>
      <w:spacing w:before="240"/>
      <w:jc w:val="left"/>
    </w:pPr>
    <w:rPr>
      <w:rFonts w:asciiTheme="minorHAnsi" w:eastAsiaTheme="minorHAnsi"/>
      <w:b/>
      <w:bCs/>
      <w:sz w:val="20"/>
      <w:szCs w:val="20"/>
    </w:rPr>
  </w:style>
  <w:style w:type="paragraph" w:styleId="21">
    <w:name w:val="toc 9"/>
    <w:basedOn w:val="1"/>
    <w:next w:val="1"/>
    <w:unhideWhenUsed/>
    <w:qFormat/>
    <w:uiPriority w:val="39"/>
    <w:pPr>
      <w:ind w:left="1470"/>
      <w:jc w:val="left"/>
    </w:pPr>
    <w:rPr>
      <w:rFonts w:asciiTheme="minorHAnsi" w:eastAsiaTheme="minorHAnsi"/>
      <w:sz w:val="20"/>
      <w:szCs w:val="20"/>
    </w:rPr>
  </w:style>
  <w:style w:type="character" w:customStyle="1" w:styleId="24">
    <w:name w:val="页眉 字符"/>
    <w:basedOn w:val="23"/>
    <w:link w:val="16"/>
    <w:qFormat/>
    <w:uiPriority w:val="0"/>
    <w:rPr>
      <w:sz w:val="18"/>
      <w:szCs w:val="18"/>
    </w:rPr>
  </w:style>
  <w:style w:type="character" w:customStyle="1" w:styleId="25">
    <w:name w:val="页脚 字符"/>
    <w:basedOn w:val="23"/>
    <w:link w:val="15"/>
    <w:qFormat/>
    <w:uiPriority w:val="99"/>
    <w:rPr>
      <w:sz w:val="18"/>
      <w:szCs w:val="18"/>
    </w:rPr>
  </w:style>
  <w:style w:type="character" w:customStyle="1" w:styleId="26">
    <w:name w:val="纯文本 字符"/>
    <w:basedOn w:val="23"/>
    <w:link w:val="13"/>
    <w:qFormat/>
    <w:uiPriority w:val="0"/>
    <w:rPr>
      <w:rFonts w:ascii="宋体" w:hAnsi="Courier New" w:eastAsia="宋体" w:cs="Courier New"/>
      <w:szCs w:val="21"/>
    </w:rPr>
  </w:style>
  <w:style w:type="character" w:customStyle="1" w:styleId="27">
    <w:name w:val="latex_linear"/>
    <w:basedOn w:val="23"/>
    <w:qFormat/>
    <w:uiPriority w:val="0"/>
  </w:style>
  <w:style w:type="paragraph" w:customStyle="1" w:styleId="28">
    <w:name w:val="WPSOffice手动目录 1"/>
    <w:qFormat/>
    <w:uiPriority w:val="0"/>
    <w:rPr>
      <w:rFonts w:asciiTheme="minorHAnsi" w:hAnsiTheme="minorHAnsi" w:eastAsiaTheme="minorEastAsia" w:cstheme="minorBidi"/>
      <w:kern w:val="0"/>
      <w:sz w:val="20"/>
      <w:szCs w:val="20"/>
      <w:lang w:val="en-US" w:eastAsia="zh-CN" w:bidi="ar-SA"/>
    </w:rPr>
  </w:style>
  <w:style w:type="paragraph" w:customStyle="1" w:styleId="29">
    <w:name w:val="题干"/>
    <w:basedOn w:val="1"/>
    <w:link w:val="30"/>
    <w:qFormat/>
    <w:uiPriority w:val="0"/>
    <w:pPr>
      <w:tabs>
        <w:tab w:val="left" w:pos="1260"/>
        <w:tab w:val="left" w:pos="2280"/>
        <w:tab w:val="left" w:pos="3440"/>
      </w:tabs>
      <w:autoSpaceDE w:val="0"/>
      <w:autoSpaceDN w:val="0"/>
      <w:adjustRightInd w:val="0"/>
      <w:ind w:hanging="108" w:hangingChars="135"/>
      <w:jc w:val="left"/>
    </w:pPr>
    <w:rPr>
      <w:rFonts w:asciiTheme="minorHAnsi" w:hAnsiTheme="minorHAnsi" w:eastAsiaTheme="minorEastAsia"/>
      <w:color w:val="000000"/>
      <w:kern w:val="0"/>
      <w:szCs w:val="21"/>
      <w:lang w:val="zh-CN"/>
    </w:rPr>
  </w:style>
  <w:style w:type="character" w:customStyle="1" w:styleId="30">
    <w:name w:val="题干 Char"/>
    <w:basedOn w:val="23"/>
    <w:link w:val="29"/>
    <w:qFormat/>
    <w:uiPriority w:val="0"/>
    <w:rPr>
      <w:rFonts w:cs="Times New Roman"/>
      <w:color w:val="000000"/>
      <w:kern w:val="0"/>
      <w:szCs w:val="21"/>
      <w:lang w:val="zh-CN"/>
    </w:rPr>
  </w:style>
  <w:style w:type="character" w:customStyle="1" w:styleId="31">
    <w:name w:val="标题 1 字符"/>
    <w:basedOn w:val="23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2">
    <w:name w:val="标题 2 字符"/>
    <w:basedOn w:val="23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3">
    <w:name w:val="标题 3 字符"/>
    <w:basedOn w:val="23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4">
    <w:name w:val="标题 4 字符"/>
    <w:basedOn w:val="23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35">
    <w:name w:val="标题 5 字符"/>
    <w:basedOn w:val="23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6">
    <w:name w:val="标题 6 字符"/>
    <w:basedOn w:val="23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7">
    <w:name w:val="标题 7 字符"/>
    <w:basedOn w:val="23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8">
    <w:name w:val="标题 8 字符"/>
    <w:basedOn w:val="23"/>
    <w:link w:val="9"/>
    <w:qFormat/>
    <w:uiPriority w:val="0"/>
    <w:rPr>
      <w:rFonts w:ascii="Arial" w:hAnsi="Arial" w:eastAsia="黑体" w:cs="Times New Roman"/>
      <w:sz w:val="24"/>
      <w:szCs w:val="24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paragraph" w:customStyle="1" w:styleId="40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247180-0599-4827-8D33-B27AD91FAA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20670</Words>
  <Characters>24479</Characters>
  <Lines>1634</Lines>
  <Paragraphs>460</Paragraphs>
  <TotalTime>1</TotalTime>
  <ScaleCrop>false</ScaleCrop>
  <LinksUpToDate>false</LinksUpToDate>
  <CharactersWithSpaces>26571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2023-08-07T01:27:00Z</dcterms:created>
  <dc:creator>蔡 伟</dc:creator>
  <cp:lastModifiedBy>Administrator</cp:lastModifiedBy>
  <cp:lastPrinted>2023-08-08T07:21:00Z</cp:lastPrinted>
  <dcterms:modified xsi:type="dcterms:W3CDTF">2024-09-19T08:14:22Z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BB9D18A8311C4D33B7583EE3350CCE69</vt:lpwstr>
  </property>
</Properties>
</file>