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center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复杂性</w:t>
      </w:r>
      <w:r>
        <w:rPr>
          <w:rFonts w:hint="eastAsia"/>
          <w:b/>
          <w:bCs/>
          <w:sz w:val="28"/>
          <w:szCs w:val="32"/>
          <w:lang w:val="en-US" w:eastAsia="zh-CN"/>
        </w:rPr>
        <w:t>选择</w:t>
      </w:r>
      <w:r>
        <w:rPr>
          <w:rFonts w:hint="eastAsia"/>
          <w:b/>
          <w:bCs/>
          <w:sz w:val="28"/>
          <w:szCs w:val="32"/>
          <w:lang w:eastAsia="zh-CN"/>
        </w:rPr>
        <w:t>题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一、单选题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t>1．下表是民国初期关税自主运动的情况统计。据此可知</w:t>
      </w:r>
      <w:r>
        <w:rPr>
          <w:rFonts w:hint="eastAsia"/>
          <w:lang w:eastAsia="zh-CN"/>
        </w:rPr>
        <w:t>（  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65"/>
        <w:gridCol w:w="4255"/>
        <w:gridCol w:w="4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时期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内容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临时政府时期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外务部照会各国公使,要求修订税则,提高税率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各国公使以民国政府尚未被列强承认为借口加以拒绝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袁世凯时期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筹划成立税则修订委员会,准备修改税则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列强并不同意修订税则,后因一战爆发,该计划化为泡影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段祺瑞时期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颁布“国家关税条例”,提高对无约国进口商品的关税标准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遭到列强的强烈反对</w:t>
            </w:r>
          </w:p>
        </w:tc>
      </w:tr>
    </w:tbl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A．中国开始逐渐丧失关税自主权</w:t>
      </w:r>
      <w:r>
        <w:tab/>
      </w:r>
      <w:r>
        <w:t>B．民族独立是实现关税自主的根本前提</w:t>
      </w:r>
    </w:p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C．民国政府积极推动关税法制化</w:t>
      </w:r>
      <w:r>
        <w:tab/>
      </w:r>
      <w:r>
        <w:t>D．收回关税自主权已成为社会普遍诉求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t>2．在封建时代，贵族家庭最重要的事在祭祀，祭祀时最重要的事是宰杀牲牛，于是在当时替天子诸侯乃及一切贵族公卿管家的都称“宰”。到了秦汉统一，一切贵族家庭都倒下，只有一个家变成了“国家”，于是其家宰也就变成了国家的政治领袖。据此判断，下列有关秦汉时期“宰相”的说法有误的是</w:t>
      </w:r>
      <w:r>
        <w:rPr>
          <w:rFonts w:hint="eastAsia"/>
          <w:lang w:eastAsia="zh-CN"/>
        </w:rPr>
        <w:t>（   ）</w:t>
      </w:r>
    </w:p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A．封建时代贵族私官之遗蜕</w:t>
      </w:r>
      <w:r>
        <w:tab/>
      </w:r>
      <w:r>
        <w:t>B．掌管贵族家庭最高祭祀权</w:t>
      </w:r>
    </w:p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C．体现家国同治的职权特点</w:t>
      </w:r>
      <w:r>
        <w:tab/>
      </w:r>
      <w:r>
        <w:t>D．封建政府的最高行政长官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t>3．1832年，英国议会改革以及选举权的扩大，使工商业资产阶级能够利用手中的选票，通过“竞争—退出”机制，在两党之间选择绩效更优者作为自己的利益代言人，使得他们的“呼吁”更有份量，也更加愿意以“呼吁”的方式促进政治体制的改革。这表明1832年改革</w:t>
      </w:r>
      <w:r>
        <w:rPr>
          <w:rFonts w:hint="eastAsia"/>
          <w:lang w:eastAsia="zh-CN"/>
        </w:rPr>
        <w:t>（   ）</w:t>
      </w:r>
    </w:p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A．推动了政党政治的发展</w:t>
      </w:r>
      <w:r>
        <w:tab/>
      </w:r>
      <w:r>
        <w:t>B．奠定了和平改革的基础</w:t>
      </w:r>
    </w:p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C．提高了民众参政的热情</w:t>
      </w:r>
      <w:r>
        <w:tab/>
      </w:r>
      <w:r>
        <w:t>D．加剧了议员竞选的矛盾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t>4．金雀花王朝君主的加冕仪式包括认证、宣誓、涂圣油、被授予王权象征物、登基等，其中涂抹圣油被视为其中最神圣的环节，大主教将圣油涂抹在君主手上、胸部和头上。据此可以推断金雀花王朝属于</w:t>
      </w:r>
      <w:r>
        <w:rPr>
          <w:rFonts w:hint="eastAsia"/>
          <w:lang w:eastAsia="zh-CN"/>
        </w:rPr>
        <w:t>（   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240" w:lineRule="auto"/>
        <w:ind w:left="300"/>
        <w:jc w:val="left"/>
        <w:textAlignment w:val="center"/>
      </w:pPr>
      <w:r>
        <w:t>A．古巴比伦</w:t>
      </w:r>
      <w:r>
        <w:tab/>
      </w:r>
      <w:r>
        <w:t>B．古代希腊</w:t>
      </w:r>
      <w:r>
        <w:tab/>
      </w:r>
      <w:r>
        <w:t>C．中古英国</w:t>
      </w:r>
      <w:r>
        <w:tab/>
      </w:r>
      <w:r>
        <w:t>D．笈多帝国</w:t>
      </w:r>
    </w:p>
    <w:p>
      <w:pPr>
        <w:shd w:val="clear" w:color="auto" w:fill="FFFFFF"/>
        <w:spacing w:line="240" w:lineRule="auto"/>
        <w:ind w:firstLine="420"/>
        <w:jc w:val="left"/>
        <w:textAlignment w:val="center"/>
        <w:rPr>
          <w:rFonts w:hint="eastAsia" w:eastAsia="宋体"/>
          <w:lang w:eastAsia="zh-CN"/>
        </w:rPr>
      </w:pPr>
      <w:r>
        <w:t>5．明清时期在县级政区以下设巡检司，职责是“掌捕盗贼，诘奸宄”，稽查无路引外出之人，截获脱逃军人及囚犯，打击走私。尤其在关津险要、水陆要冲、潘山滨海、县境交界等地，均设置巡检司弹压。据此可知，巡检司的设置</w:t>
      </w:r>
      <w:r>
        <w:rPr>
          <w:rFonts w:hint="eastAsia"/>
          <w:lang w:eastAsia="zh-CN"/>
        </w:rPr>
        <w:t>（   ）</w:t>
      </w:r>
    </w:p>
    <w:p>
      <w:pPr>
        <w:shd w:val="clear" w:color="auto" w:fill="FFFFFF"/>
        <w:tabs>
          <w:tab w:val="left" w:pos="4156"/>
        </w:tabs>
        <w:spacing w:line="240" w:lineRule="auto"/>
        <w:ind w:left="300" w:firstLine="420"/>
        <w:jc w:val="left"/>
        <w:textAlignment w:val="center"/>
      </w:pPr>
      <w:r>
        <w:t>A．确保中央政府政令通畅</w:t>
      </w:r>
      <w:r>
        <w:tab/>
      </w:r>
      <w:r>
        <w:t>B．体现君主专制的强化</w:t>
      </w:r>
    </w:p>
    <w:p>
      <w:pPr>
        <w:shd w:val="clear" w:color="auto" w:fill="FFFFFF"/>
        <w:tabs>
          <w:tab w:val="left" w:pos="4156"/>
        </w:tabs>
        <w:spacing w:line="240" w:lineRule="auto"/>
        <w:ind w:left="300" w:firstLine="420"/>
        <w:jc w:val="left"/>
        <w:textAlignment w:val="center"/>
      </w:pPr>
      <w:r>
        <w:t>C．表明地方行政层级增加</w:t>
      </w:r>
      <w:r>
        <w:tab/>
      </w:r>
      <w:r>
        <w:t>D．成为基层治理的补充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t>6．“庆历新政”是士大夫与天子“共治天下”的一次实践。宋仁宗开始大力支持，但后来转变了态度，最终庆历新政夭折。宋仁宗转变态度的原因有两个：一是广大官僚反对，二是忌讳朋党影响其专制统治。据此可知</w:t>
      </w:r>
      <w:r>
        <w:rPr>
          <w:rFonts w:hint="eastAsia"/>
          <w:lang w:eastAsia="zh-CN"/>
        </w:rPr>
        <w:t>（   ）</w:t>
      </w:r>
    </w:p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A．统治者决策决定了改革成败</w:t>
      </w:r>
      <w:r>
        <w:tab/>
      </w:r>
      <w:r>
        <w:t>B．改革加剧北宋积贫积弱程度</w:t>
      </w:r>
    </w:p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C．官僚意见不统一制约了改革</w:t>
      </w:r>
      <w:r>
        <w:tab/>
      </w:r>
      <w:r>
        <w:t>D．改革失败因其制度层面缺陷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t>7．据《里耶秦简》记载，秦汉时期的一个小县的吏员总编制为107人。而据《清会典事例》规定，县级官员定额为知县、县丞、主薄各一人，另外，县可以雇佣10-16名的书吏负责县的日常行政事务，大量琐碎的事务由不领俸禄或仅领少数津贴的行政辅助人员完成。据此可知</w:t>
      </w:r>
      <w:r>
        <w:rPr>
          <w:rFonts w:hint="eastAsia"/>
          <w:lang w:eastAsia="zh-CN"/>
        </w:rPr>
        <w:t>（   ）</w:t>
      </w:r>
    </w:p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A．中央放松对地方的管理</w:t>
      </w:r>
      <w:r>
        <w:tab/>
      </w:r>
      <w:r>
        <w:t>B．地方行政体制变革大</w:t>
      </w:r>
    </w:p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C．基层治理策略发生变化</w:t>
      </w:r>
      <w:r>
        <w:tab/>
      </w:r>
      <w:r>
        <w:t>D．秦汉基层管理成本高</w:t>
      </w:r>
    </w:p>
    <w:p>
      <w:pPr>
        <w:shd w:val="clear" w:color="auto" w:fill="FFFFFF"/>
        <w:spacing w:line="240" w:lineRule="auto"/>
        <w:jc w:val="left"/>
        <w:textAlignment w:val="center"/>
      </w:pPr>
      <w:r>
        <w:t>8．清初，闽浙总督兴永朝推行粮户归宗改革。据（合户始末）记载，其主要内容为“册内各去里甲名色，听均甲.立户自便"。所谓“各去里甲名色"，指的是废除了里长户和甲首户的区分；所谓“均甲”，是均匀里甲的赋役负担；所谓“立户”，即是准许设置花户，直接向政府交纳赋税。这一改革产生的主要影响是</w:t>
      </w:r>
    </w:p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A．废除了里甲制度</w:t>
      </w:r>
      <w:r>
        <w:tab/>
      </w:r>
      <w:r>
        <w:t>B．刺激了人口增长</w:t>
      </w:r>
    </w:p>
    <w:p>
      <w:pPr>
        <w:shd w:val="clear" w:color="auto" w:fill="FFFFFF"/>
        <w:tabs>
          <w:tab w:val="left" w:pos="4156"/>
        </w:tabs>
        <w:spacing w:line="240" w:lineRule="auto"/>
        <w:ind w:left="300"/>
        <w:jc w:val="left"/>
        <w:textAlignment w:val="center"/>
      </w:pPr>
      <w:r>
        <w:t>C．促进了商业发展</w:t>
      </w:r>
      <w:r>
        <w:tab/>
      </w:r>
      <w:r>
        <w:t>D．保障了赋役征收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t>9．下表是某同学整理的《近代以来中国的官员选拔与管理》一课的笔记，其中事件与意义对应正确的一项是</w:t>
      </w:r>
      <w:r>
        <w:rPr>
          <w:rFonts w:hint="eastAsia"/>
          <w:lang w:eastAsia="zh-CN"/>
        </w:rPr>
        <w:t>（  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4493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选项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事件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1901年，清政府通令各省书院一律改为大学堂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标志学堂选官制度正式设立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1905年，清政府设立学部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标志中国选官制度进入一个新阶段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1913年，北洋政府颁布了《文官考试法草案》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奠定了近代中国文官制度的基础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1993年，公务员制度开始推行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标志公务员考录工作正式进入法制化轨道</w:t>
            </w:r>
          </w:p>
        </w:tc>
      </w:tr>
    </w:tbl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240" w:lineRule="auto"/>
        <w:ind w:left="30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240" w:lineRule="auto"/>
        <w:jc w:val="left"/>
        <w:textAlignment w:val="center"/>
      </w:pPr>
      <w:r>
        <w:t>10．有学者认为：这是要打破权力单向中心化结构，建立起—个中心与周边之间的经常性互动与反馈的体系，中心带动周边，通过汇聚民智而变得更加聪慧，周边烘托中心，通过领悟中心而变得更加自觉，不断推动社会进步。这一论述可以用于说明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A．雅典民主政治</w:t>
      </w:r>
      <w:r>
        <w:tab/>
      </w:r>
      <w:r>
        <w:t>B．人民政治协商制度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C．人民代表大会制度</w:t>
      </w:r>
      <w:r>
        <w:tab/>
      </w:r>
      <w:r>
        <w:t>D．民族区域自治制度</w:t>
      </w:r>
    </w:p>
    <w:p>
      <w:pPr>
        <w:shd w:val="clear" w:color="auto" w:fill="FFFFFF"/>
        <w:spacing w:line="240" w:lineRule="auto"/>
        <w:jc w:val="left"/>
        <w:textAlignment w:val="center"/>
      </w:pPr>
      <w:r>
        <w:t>11．有学者在研究中注意到，唐朝立国后重铸新币（见下示拓图）。这种新币是唐近三百年间流通的主要货币，唐以后仍继续流通了七百多年。不唯如此，钱的大小与轻重都成为后来铸钱的范例，对后世货币的铸造影响很大。有趣的是，关于此钱的读法，名曰“开元通宝”抑或“开通元宝”，历来各执一词，成为一件历史的悬案。有学者认为，应读成“开通元宝”；有学者则认为，“开元通宝”是正确的称呼，但考虑到唐宋时社会上称呼“开通元宝”已约定俗成，故也不能说是绝对错误。这说明</w:t>
      </w:r>
      <w:r>
        <w:rPr>
          <w:rFonts w:hint="eastAsia"/>
          <w:lang w:eastAsia="zh-CN"/>
        </w:rPr>
        <w:t>（   ）</w:t>
      </w:r>
      <w:r>
        <w:t>。</w:t>
      </w:r>
    </w:p>
    <w:p>
      <w:pPr>
        <w:shd w:val="clear" w:color="auto" w:fill="FFFFFF"/>
        <w:spacing w:line="240" w:lineRule="auto"/>
        <w:jc w:val="center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62025" cy="1028700"/>
            <wp:effectExtent l="0" t="0" r="9525" b="0"/>
            <wp:docPr id="100003" name="图片 100003" descr="@@@a13dbd337be94327857fa4ea7453b2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a13dbd337be94327857fa4ea7453b28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240" w:lineRule="auto"/>
        <w:ind w:left="380"/>
        <w:jc w:val="left"/>
        <w:textAlignment w:val="center"/>
      </w:pPr>
      <w:r>
        <w:t>A．钱货可议，应注意吸收学术界的研究成果，避免各执一词</w:t>
      </w:r>
    </w:p>
    <w:p>
      <w:pPr>
        <w:shd w:val="clear" w:color="auto" w:fill="FFFFFF"/>
        <w:spacing w:line="240" w:lineRule="auto"/>
        <w:ind w:left="380"/>
        <w:jc w:val="left"/>
        <w:textAlignment w:val="center"/>
      </w:pPr>
      <w:r>
        <w:t>B．文献记载语焉不详，造成研究信息不对称，原本是一个不成其为问题的问题</w:t>
      </w:r>
    </w:p>
    <w:p>
      <w:pPr>
        <w:shd w:val="clear" w:color="auto" w:fill="FFFFFF"/>
        <w:spacing w:line="240" w:lineRule="auto"/>
        <w:ind w:left="380"/>
        <w:jc w:val="left"/>
        <w:textAlignment w:val="center"/>
      </w:pPr>
      <w:r>
        <w:t>C．研究历史需要正本清源，不仅要有文献资料和其他根据，还要有对材料的考证与辨伪</w:t>
      </w:r>
    </w:p>
    <w:p>
      <w:pPr>
        <w:shd w:val="clear" w:color="auto" w:fill="FFFFFF"/>
        <w:spacing w:line="240" w:lineRule="auto"/>
        <w:ind w:left="380"/>
        <w:jc w:val="left"/>
        <w:textAlignment w:val="center"/>
      </w:pPr>
      <w:r>
        <w:t>D．史料存在“记忆之殇”，需要采用新技术以“唤醒”，进而解释历史如何被表象的问题</w:t>
      </w:r>
    </w:p>
    <w:p>
      <w:pPr>
        <w:shd w:val="clear" w:color="auto" w:fill="FFFFFF"/>
        <w:spacing w:line="240" w:lineRule="auto"/>
        <w:jc w:val="left"/>
        <w:textAlignment w:val="center"/>
      </w:pPr>
      <w:r>
        <w:t>12．</w:t>
      </w:r>
      <w:r>
        <w:rPr>
          <w:sz w:val="21"/>
        </w:rPr>
        <w:t>1945年9月27日，国民政府财政部将法币与汪伪政权货币的兑换率定为1：200。历史学家黄仁宇曾回忆说，他从昆明飞上海前领取了薪俸，一下飞机就发现手中的法币突然成了硬通货，在重庆只能购买2根油条的法币，到了上海竟可以在上好的酒楼摆上两桌酒席。这说明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A．</w:t>
      </w:r>
      <w:r>
        <w:rPr>
          <w:sz w:val="21"/>
        </w:rPr>
        <w:t>沦陷区国民财富迅速缩水</w:t>
      </w:r>
      <w:r>
        <w:tab/>
      </w:r>
      <w:r>
        <w:t>B．</w:t>
      </w:r>
      <w:r>
        <w:rPr>
          <w:sz w:val="21"/>
        </w:rPr>
        <w:t>政府抑制全国法币发行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C．</w:t>
      </w:r>
      <w:r>
        <w:rPr>
          <w:sz w:val="21"/>
        </w:rPr>
        <w:t>上海法币大量回流到重庆</w:t>
      </w:r>
      <w:r>
        <w:tab/>
      </w:r>
      <w:r>
        <w:t>D．</w:t>
      </w:r>
      <w:r>
        <w:rPr>
          <w:sz w:val="21"/>
        </w:rPr>
        <w:t>官僚资本遭受沉重打击</w:t>
      </w:r>
    </w:p>
    <w:p>
      <w:pPr>
        <w:shd w:val="clear" w:color="auto" w:fill="FFFFFF"/>
        <w:spacing w:line="240" w:lineRule="auto"/>
        <w:jc w:val="left"/>
        <w:textAlignment w:val="center"/>
      </w:pPr>
      <w:r>
        <w:t>13．1939—1941年，国民政府实施地方“新县制”改革，赋予县及县以下单位更大的自主权，实行在民意和民选基础上的地方自治；地方实行行政、教育、军事合一的一体化组织建构；明确县级地方财政的自收自支原则。由此可知，国民政府“新县制”改革的主要目的是</w:t>
      </w:r>
    </w:p>
    <w:p>
      <w:pPr>
        <w:shd w:val="clear" w:color="auto" w:fill="FFFFFF"/>
        <w:spacing w:line="240" w:lineRule="auto"/>
        <w:ind w:left="380"/>
        <w:jc w:val="left"/>
        <w:textAlignment w:val="center"/>
      </w:pPr>
      <w:r>
        <w:t>A．消除地方分裂割据，实现全中国统一</w:t>
      </w:r>
      <w:r>
        <w:rPr>
          <w:rFonts w:hint="eastAsia"/>
          <w:lang w:val="en-US" w:eastAsia="zh-CN"/>
        </w:rPr>
        <w:t xml:space="preserve">   </w:t>
      </w:r>
      <w:r>
        <w:t>B．对敌后抗日根据地实施全面经济封锁</w:t>
      </w:r>
    </w:p>
    <w:p>
      <w:pPr>
        <w:shd w:val="clear" w:color="auto" w:fill="FFFFFF"/>
        <w:spacing w:line="240" w:lineRule="auto"/>
        <w:ind w:left="380"/>
        <w:jc w:val="left"/>
        <w:textAlignment w:val="center"/>
      </w:pPr>
      <w:r>
        <w:t>C．积极动员全国人力物力资源支持抗战</w:t>
      </w:r>
      <w:r>
        <w:rPr>
          <w:rFonts w:hint="eastAsia"/>
          <w:lang w:val="en-US" w:eastAsia="zh-CN"/>
        </w:rPr>
        <w:t xml:space="preserve">   </w:t>
      </w:r>
      <w:r>
        <w:t>D．为“抗战建国”打造地方性基础和持久动员力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t>14．《商君书·修权》中说：“故尧、舜之位天下也，非私天下之利也，为天下（公天下）位天下也；论贤举能而传焉，非疏父子亲越人也，明于治乱之道也。故三王以义亲，五霸以法正诸侯，皆非私天下之利也，为天下治天下。”商君的上述思想</w:t>
      </w:r>
      <w:r>
        <w:rPr>
          <w:rFonts w:hint="eastAsia"/>
          <w:lang w:eastAsia="zh-CN"/>
        </w:rPr>
        <w:t>（   ）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A．强化了王权独尊的专制观</w:t>
      </w:r>
      <w:r>
        <w:tab/>
      </w:r>
      <w:r>
        <w:t>B．明确了为公任法的治国理念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C．打破了私天下的继承原则</w:t>
      </w:r>
      <w:r>
        <w:tab/>
      </w:r>
      <w:r>
        <w:t>D．展现了外儒内法的政治思想</w:t>
      </w:r>
    </w:p>
    <w:p>
      <w:pPr>
        <w:shd w:val="clear" w:color="auto" w:fill="FFFFFF"/>
        <w:spacing w:line="240" w:lineRule="auto"/>
        <w:jc w:val="left"/>
        <w:textAlignment w:val="center"/>
      </w:pPr>
      <w:r>
        <w:t>15．唐代的使职，是职官本制以外的差遣官，即离开原来的职守去任某事，独立于三省六部制职官系统之外。如表为唐代各阶段使职统计表.此表可以佐证唐代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760"/>
        <w:gridCol w:w="1500"/>
        <w:gridCol w:w="255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时期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任用使职年数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产生个使职所需平均年数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使职数占总数的百分率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高祖至高宗（618—683）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4.4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武则天至玄宗（684—755）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64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0.82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肃宗至德宗（756—804）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28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1.75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顺宗至宜宗（805—859）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4.58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懿宗至哀帝（860-907）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2.4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14%</w:t>
            </w:r>
          </w:p>
        </w:tc>
      </w:tr>
    </w:tbl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A．官僚体制的成熟演进</w:t>
      </w:r>
      <w:r>
        <w:tab/>
      </w:r>
      <w:r>
        <w:t>B．君相矛盾的尖锐发展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C．政治控制能力的变化</w:t>
      </w:r>
      <w:r>
        <w:tab/>
      </w:r>
      <w:r>
        <w:t>D．中央地方的权力配置</w:t>
      </w:r>
    </w:p>
    <w:p>
      <w:pPr>
        <w:shd w:val="clear" w:color="auto" w:fill="FFFFFF"/>
        <w:spacing w:line="240" w:lineRule="auto"/>
        <w:jc w:val="left"/>
        <w:textAlignment w:val="center"/>
      </w:pPr>
      <w:r>
        <w:t>16．“以文书御天下”是中国古代政治运作的重要特征。下列史料与阐释对应正确的是(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)</w:t>
      </w:r>
    </w:p>
    <w:p>
      <w:pPr>
        <w:shd w:val="clear" w:color="auto" w:fill="FFFFFF"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476750" cy="723900"/>
            <wp:effectExtent l="0" t="0" r="0" b="0"/>
            <wp:docPr id="100005" name="图片 100005" descr="@@@d4d9b518f4e544b38ade5b0d8f9f3b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d4d9b518f4e544b38ade5b0d8f9f3bb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24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505325" cy="1895475"/>
            <wp:effectExtent l="0" t="0" r="9525" b="9525"/>
            <wp:docPr id="100007" name="图片 100007" descr="@@@9cd4a9cb3b6245d286d88ef29f83e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9cd4a9cb3b6245d286d88ef29f83e27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240" w:lineRule="auto"/>
        <w:ind w:left="38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t>17．1955年4月18日至24日在印度尼西亚某城市举行了一场国际会议，该会议由缅甸、锡兰（今斯里兰卡）、印度、印度尼西亚、巴基斯坦5国总理发起，共有29个国家政府首脑共计340名代表参加，中国政府派出以周恩来为首席代表的代表团出席会议。会上周恩来呼吁各国撇开分歧，为着反对殖民主义的共同利益而加强合作。在这次国际会议中周恩来的做法</w:t>
      </w:r>
      <w:r>
        <w:rPr>
          <w:rFonts w:hint="eastAsia"/>
          <w:lang w:eastAsia="zh-CN"/>
        </w:rPr>
        <w:t>（   ）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A．妥善消解了与会国错综复杂的矛盾</w:t>
      </w:r>
      <w:r>
        <w:tab/>
      </w:r>
      <w:r>
        <w:t>B．顺利解决朝鲜和印度支那和平问题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C．有效扩大不结盟运动的国际影响力</w:t>
      </w:r>
      <w:r>
        <w:tab/>
      </w:r>
      <w:r>
        <w:t>D．成功维护亚非国家团结合作的大局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18</w:t>
      </w:r>
      <w:r>
        <w:t>．张传玺教授曾以“中国古代国家的历史特征”为题，从政治文明的高度，以翔实的资料为基础，史论结合，认为中国古代中央集权制度具有明显“公天下”的因素；同时，还有不少学者认为，从制度文明的角度看，古代中国政治体制体现了“现代行政”的特点。若以此为研究主题，下列最合适的话题是</w:t>
      </w:r>
      <w:r>
        <w:rPr>
          <w:rFonts w:hint="eastAsia"/>
          <w:lang w:eastAsia="zh-CN"/>
        </w:rPr>
        <w:t>（   ）</w:t>
      </w:r>
    </w:p>
    <w:p>
      <w:pPr>
        <w:shd w:val="clear" w:color="auto" w:fill="FFFFFF"/>
        <w:spacing w:line="240" w:lineRule="auto"/>
        <w:ind w:left="380"/>
        <w:jc w:val="left"/>
        <w:textAlignment w:val="center"/>
      </w:pPr>
      <w:r>
        <w:t>A．中国古代中央集权制度的合理性与生命力</w:t>
      </w:r>
      <w:r>
        <w:rPr>
          <w:rFonts w:hint="eastAsia"/>
          <w:lang w:val="en-US" w:eastAsia="zh-CN"/>
        </w:rPr>
        <w:t xml:space="preserve">   </w:t>
      </w:r>
      <w:r>
        <w:t>B．中国古代中央集权制度是民主的政治制度</w:t>
      </w:r>
    </w:p>
    <w:p>
      <w:pPr>
        <w:shd w:val="clear" w:color="auto" w:fill="FFFFFF"/>
        <w:spacing w:line="240" w:lineRule="auto"/>
        <w:ind w:left="380"/>
        <w:jc w:val="left"/>
        <w:textAlignment w:val="center"/>
      </w:pPr>
      <w:r>
        <w:t>C．中国古代中央集权制度与现代行政制度相似D．中国古代中央集权制度是君主专制下的产物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19</w:t>
      </w:r>
      <w:r>
        <w:t>．如表是中国古代文献中对于官吏考核标准的部分记载，由此可知</w:t>
      </w:r>
      <w:r>
        <w:rPr>
          <w:rFonts w:hint="eastAsia"/>
          <w:lang w:eastAsia="zh-CN"/>
        </w:rPr>
        <w:t>（   ）</w:t>
      </w:r>
    </w:p>
    <w:p>
      <w:pPr>
        <w:shd w:val="clear" w:color="auto" w:fill="FFFFFF"/>
        <w:spacing w:line="240" w:lineRule="auto"/>
        <w:jc w:val="left"/>
        <w:textAlignment w:val="center"/>
      </w:pPr>
      <w:r>
        <w:drawing>
          <wp:inline distT="0" distB="0" distL="114300" distR="114300">
            <wp:extent cx="4251325" cy="3916680"/>
            <wp:effectExtent l="0" t="0" r="15875" b="762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A．考核始终贯穿儒家思想</w:t>
      </w:r>
      <w:r>
        <w:tab/>
      </w:r>
      <w:r>
        <w:t>B．考核内容逐渐全面化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C．以执政清廉为主要标准</w:t>
      </w:r>
      <w:r>
        <w:tab/>
      </w:r>
      <w:r>
        <w:t>D．考核具有时代性特点</w:t>
      </w:r>
    </w:p>
    <w:p>
      <w:pPr>
        <w:shd w:val="clear" w:color="auto" w:fill="FFFFFF"/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20</w:t>
      </w:r>
      <w:r>
        <w:t>．如表为抗战期间在延安召开的陕甘宁边区参议会情况统计表（部分）。据此可知，该参议会</w:t>
      </w:r>
      <w:r>
        <w:rPr>
          <w:rFonts w:hint="eastAsia"/>
          <w:lang w:eastAsia="zh-CN"/>
        </w:rPr>
        <w:t>（  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86"/>
        <w:gridCol w:w="8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会议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主要议题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第一届参议会</w:t>
            </w:r>
          </w:p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（1939年）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1.初步确立了边区民主政治制度。</w:t>
            </w:r>
          </w:p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2.选举产生边区参议会正副议长及其常驻议员委员会；选举产生边区政府。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第二届参议会</w:t>
            </w:r>
          </w:p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第一次大会</w:t>
            </w:r>
          </w:p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（1941年）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1.通过《五一施政纲领》，其中强调了三三制政权。</w:t>
            </w:r>
          </w:p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2.通过了李鼎铭提出的“精兵简政”方案。</w:t>
            </w:r>
          </w:p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3.选举产生边区参议会正副议长及其常驻议员委员会；选举产生边区政府。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第二届参议会</w:t>
            </w:r>
          </w:p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第二次大会</w:t>
            </w:r>
          </w:p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（1944年）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1.确定主要任务：“促进边区自身建设，推动大后方民主运动，奠定抗日战争胜利的基础。”</w:t>
            </w:r>
          </w:p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2.着重讨论了时局和要求国民党取消一党专政，成立联合政府问题。</w:t>
            </w:r>
          </w:p>
        </w:tc>
      </w:tr>
    </w:tbl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A．有效行使了边区政府的职权</w:t>
      </w:r>
      <w:r>
        <w:tab/>
      </w:r>
      <w:r>
        <w:t>B．推动了边区各项事业的发展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C．充分代表边区各阶层的利益</w:t>
      </w:r>
      <w:r>
        <w:tab/>
      </w:r>
      <w:r>
        <w:t>D．确定了国共重庆谈判的原则</w:t>
      </w:r>
    </w:p>
    <w:p>
      <w:pPr>
        <w:shd w:val="clear" w:color="auto" w:fill="FFFFFF"/>
        <w:spacing w:line="240" w:lineRule="auto"/>
        <w:jc w:val="left"/>
        <w:textAlignment w:val="center"/>
      </w:pPr>
      <w:r>
        <w:t>21．如表所示为1908年清廷颁布的《资政院章程》中的部分规定。据表可知，当时</w:t>
      </w:r>
      <w:r>
        <w:rPr>
          <w:rFonts w:hint="eastAsia"/>
          <w:lang w:eastAsia="zh-CN"/>
        </w:rPr>
        <w:t>（   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第一条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资政院“以取决公论，预立上下议院基础为宗旨”“新定法典及以后修订”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第十五条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前条所列第一至第四各款议案，应由军机大臣或各部行政大臣先期拟定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第十六条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left"/>
              <w:textAlignment w:val="center"/>
            </w:pPr>
            <w:r>
              <w:t>所议法案的颁布须请旨拟夺</w:t>
            </w:r>
          </w:p>
        </w:tc>
      </w:tr>
    </w:tbl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A．军机处仍处于权力中心</w:t>
      </w:r>
      <w:r>
        <w:tab/>
      </w:r>
      <w:r>
        <w:t>B．司法独立已是大势所趋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C．传统政治影响依然较大</w:t>
      </w:r>
      <w:r>
        <w:tab/>
      </w:r>
      <w:r>
        <w:t>D．政治体制改革已达共识</w:t>
      </w:r>
    </w:p>
    <w:p>
      <w:pPr>
        <w:shd w:val="clear" w:color="auto" w:fill="FFFFFF"/>
        <w:spacing w:line="240" w:lineRule="auto"/>
        <w:jc w:val="left"/>
        <w:textAlignment w:val="center"/>
      </w:pPr>
      <w:r>
        <w:t>22．下表记载了北宋相关时间的主客户变化情况。据此推断，当时（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550"/>
        <w:gridCol w:w="1766"/>
        <w:gridCol w:w="994"/>
        <w:gridCol w:w="170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年代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主户及其占总户数的百分比</w:t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客户及其占总户数的百分比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宋仁宗天圣元年（1023）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6144983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62.1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3753138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37.9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宋仁宗天圣九年（1031）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5978065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63.7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3402742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36.3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宋仁宗庆历八年（1048）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6893827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64.3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3829868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35.7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宋仁宗嘉佑六年（1061）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7209581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65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3881531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宋神宗熙宁五年（1072）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10498869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69.6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4592691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240" w:lineRule="auto"/>
              <w:jc w:val="center"/>
              <w:textAlignment w:val="center"/>
            </w:pPr>
            <w:r>
              <w:t>30.4</w:t>
            </w:r>
          </w:p>
        </w:tc>
      </w:tr>
    </w:tbl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A．国家财政收入不断增加</w:t>
      </w:r>
      <w:r>
        <w:tab/>
      </w:r>
      <w:r>
        <w:t>B．客户对主户的依附关系减弱</w:t>
      </w:r>
    </w:p>
    <w:p>
      <w:pPr>
        <w:shd w:val="clear" w:color="auto" w:fill="FFFFFF"/>
        <w:tabs>
          <w:tab w:val="left" w:pos="4156"/>
        </w:tabs>
        <w:spacing w:line="240" w:lineRule="auto"/>
        <w:ind w:left="380"/>
        <w:jc w:val="left"/>
        <w:textAlignment w:val="center"/>
      </w:pPr>
      <w:r>
        <w:t>C．土地兼并现象逐渐缓和</w:t>
      </w:r>
      <w:r>
        <w:tab/>
      </w:r>
      <w:r>
        <w:t>D．政府对户籍的管理相对松弛</w:t>
      </w: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pacing w:line="24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shd w:val="clear" w:color="auto" w:fill="FFFFFF"/>
        <w:spacing w:line="240" w:lineRule="auto"/>
        <w:jc w:val="left"/>
        <w:textAlignment w:val="center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0ZjdkNGYzNmY0YzBkNzQ0OWUyZmE0YTk0ODQ1YTA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18B73969"/>
    <w:rsid w:val="58A02CAA"/>
    <w:rsid w:val="7A44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家珍</cp:lastModifiedBy>
  <cp:lastPrinted>2023-11-28T08:20:00Z</cp:lastPrinted>
  <dcterms:modified xsi:type="dcterms:W3CDTF">2023-11-30T23:57:24Z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a61ac63d65a742918856e481ae23e154mje0mzi3oda1</vt:lpwstr>
  </property>
  <property fmtid="{D5CDD505-2E9C-101B-9397-08002B2CF9AE}" pid="4" name="KSOProductBuildVer">
    <vt:lpwstr>2052-12.1.0.15712</vt:lpwstr>
  </property>
  <property fmtid="{D5CDD505-2E9C-101B-9397-08002B2CF9AE}" pid="5" name="ICV">
    <vt:lpwstr>7588708D51D34CE5A261063764F31A2A_12</vt:lpwstr>
  </property>
</Properties>
</file>