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蜀相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bookmarkEnd w:id="0"/>
    <w:p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1" w:name="_Hlk97022317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了解作者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杜甫(712—770)，字子美，自号少陵野老，河南巩县(今河南巩义)人。唐代伟大的现实主义诗人。他忧国忧民，人格高尚。杜甫约有1 500首诗歌被保留下来，诗艺精湛，在中国古典诗歌中的影响非常深远，被后人称为“诗圣”，他的诗被称为“诗史”。杜甫与李白合称“李杜”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主要作品：《春望》《北征》《三吏》(《新安吏》《石壕吏》《潼关吏》)、《三别》(《新婚别》《垂老别》《无家别》)等。</w:t>
      </w:r>
    </w:p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相关背景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诗作于唐肃宗上元元年(760)，杜甫避乱成都的次年春天。这时的情况，从杜甫个人的处境来看，政治上很不得志。“致君尧舜上，再使风俗淳”的理想彻底落空，生活上的艰难困苦，更不必说。从当时社会现实来看，安史之乱仍未平息，史思明再次攻陷了东都洛阳，自立为大燕皇帝，唐王朝仍处于风雨飘摇之中。人民大量死亡，生产遭到破坏，尤其严重的是唐肃宗的昏庸，信任宦官，猜忌功臣。在这种情况下，杜甫的心情自然是很苦闷的。所以当他来到诸葛祠时，缅怀诸葛亮的为人，特别是他那“鞠躬尽瘁，死而后已”的精神，以及他和刘备君臣二人之间那种鱼水相得的关系，不禁百感交集，心潮翻滚，以至泪流满襟，因而写下了这首诗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常识积累</w:t>
      </w:r>
    </w:p>
    <w:p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近体诗又名今体诗，为唐代新兴的诗体，因与古体诗有别而得名。近体诗分为绝句、律诗两种，四句为绝句，八句为律诗。</w:t>
      </w:r>
    </w:p>
    <w:p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律诗是近体诗的一种，格律严密。发源于南朝齐永明时沈约等讲究声律、对偶的新体诗，至初唐沈佺期、宋之问时正式定型，成熟于盛唐时期。律诗要求诗句字数整齐划一。律诗由八句组成，每首有四联(即八句)，每句五个字的是五言律诗，简称“五律”；每句七个字的是七言律诗，简称“七律”。律诗的第一、二句称为“首联”，三、四句称为“颔联”，五、六句称为“颈联”，七、八句称为“尾联”。“颔联”和“颈联”必须对仗；第二、四、六、八句最后的一个字必须同韵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4. </w:t>
      </w:r>
      <w:r>
        <w:rPr>
          <w:rFonts w:hint="eastAsia"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词语释义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①锦官城外柏</w:t>
      </w:r>
      <w:r>
        <w:rPr>
          <w:rFonts w:hint="eastAsia" w:hAnsi="宋体" w:cs="Times New Roman"/>
          <w:color w:val="0D0D0D" w:themeColor="text1" w:themeTint="F2"/>
          <w:sz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森森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②三</w:t>
      </w:r>
      <w:r>
        <w:rPr>
          <w:rFonts w:hint="eastAsia" w:hAnsi="宋体" w:cs="Times New Roman"/>
          <w:color w:val="0D0D0D" w:themeColor="text1" w:themeTint="F2"/>
          <w:sz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顾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频烦天下计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③两朝</w:t>
      </w:r>
      <w:r>
        <w:rPr>
          <w:rFonts w:hint="eastAsia" w:hAnsi="宋体" w:cs="Times New Roman"/>
          <w:color w:val="0D0D0D" w:themeColor="text1" w:themeTint="F2"/>
          <w:sz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开济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老臣心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把握诗歌鉴赏的步骤，学习通过“以意逆志 知人论世”的方法体会诗人的思想感情。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hint="eastAsia" w:ascii="宋体" w:hAnsi="宋体" w:eastAsia="宋体" w:cs="宋体"/>
          <w:color w:val="0D0D0D"/>
          <w:kern w:val="0"/>
          <w:szCs w:val="21"/>
        </w:rPr>
        <w:t>2.通过对诗词的分析、感悟，引导学生有步骤、有方法、有感情地理解诗歌，提高鉴赏古诗词的能力。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hint="eastAsia" w:ascii="宋体" w:hAnsi="宋体" w:eastAsia="宋体" w:cs="宋体"/>
          <w:color w:val="0D0D0D"/>
          <w:kern w:val="0"/>
          <w:szCs w:val="21"/>
        </w:rPr>
        <w:t>3.欣赏诗人在诗词中流露出的悲情之美，体会千古悲情英雄的共同心声。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adjustRightInd w:val="0"/>
        <w:spacing w:line="360" w:lineRule="exact"/>
        <w:jc w:val="left"/>
        <w:rPr>
          <w:rFonts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（一）预习检查</w:t>
      </w:r>
    </w:p>
    <w:bookmarkEnd w:id="2"/>
    <w:bookmarkEnd w:id="3"/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1.生自由朗读，读准字音，读准节奏。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注意：</w:t>
      </w:r>
      <w:r>
        <w:rPr>
          <w:rFonts w:hint="eastAsia" w:ascii="宋体" w:hAnsi="宋体" w:eastAsia="宋体" w:cs="Times New Roman"/>
          <w:b/>
          <w:bCs/>
          <w:szCs w:val="21"/>
        </w:rPr>
        <w:t>柏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</w:rPr>
        <w:t>）森森、空</w:t>
      </w:r>
      <w:r>
        <w:rPr>
          <w:rFonts w:hint="eastAsia" w:ascii="宋体" w:hAnsi="宋体" w:eastAsia="宋体" w:cs="Times New Roman"/>
          <w:b/>
          <w:bCs/>
          <w:szCs w:val="21"/>
        </w:rPr>
        <w:t>好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）音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2.教师范读： 渲染氛围 感受情感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感情基调：</w:t>
      </w:r>
    </w:p>
    <w:p>
      <w:pPr>
        <w:adjustRightInd w:val="0"/>
        <w:spacing w:line="360" w:lineRule="exac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3.合作读： </w:t>
      </w:r>
    </w:p>
    <w:p>
      <w:pPr>
        <w:adjustRightInd w:val="0"/>
        <w:spacing w:line="36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（二）整体解读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【思考1】</w:t>
      </w:r>
      <w:r>
        <w:rPr>
          <w:rFonts w:hint="eastAsia" w:ascii="宋体" w:hAnsi="宋体" w:eastAsia="宋体" w:cs="Times New Roman"/>
          <w:szCs w:val="21"/>
        </w:rPr>
        <w:t>我们读诗，要学会揣摩作者的思想感情。如果要你将全诗表达的情感浓缩到一个字上，一个意象（名词），你会想到诗中哪个字？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【思考2】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在《蜀相》，为谁而流？杜甫的眼泪又为何而流？这泪水中又饱含杜甫怎样深沉的情怀呢？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eastAsia="宋体" w:cs="Times New Roman"/>
          <w:szCs w:val="21"/>
        </w:rPr>
        <w:t>：再读诗歌，看看除了在诗歌结句可以感受到诗人对诸葛亮景仰，叹惋之情，其他的诗句是不是也可以感受到这情感。（</w:t>
      </w:r>
      <w:r>
        <w:rPr>
          <w:rFonts w:hint="eastAsia" w:ascii="宋体" w:hAnsi="宋体" w:eastAsia="宋体" w:cs="Times New Roman"/>
          <w:szCs w:val="21"/>
          <w:lang w:eastAsia="zh-CN"/>
        </w:rPr>
        <w:t>提示：</w:t>
      </w:r>
      <w:r>
        <w:rPr>
          <w:rFonts w:hint="eastAsia" w:ascii="宋体" w:hAnsi="宋体" w:eastAsia="宋体" w:cs="Times New Roman"/>
          <w:szCs w:val="21"/>
        </w:rPr>
        <w:t>寻找表达情感的意象，动词形容词）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首联：丞相祠堂何处寻，锦官城外柏森森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颔联： “映阶碧草自春色，隔叶黄鹂空好音。”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颈联：三顾频烦天下计,两朝开济老臣心。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尾联：出师未捷身先死,长使英雄泪满襟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  <w:lang w:eastAsia="zh-CN"/>
        </w:rPr>
      </w:pPr>
    </w:p>
    <w:p>
      <w:pPr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Times New Roman"/>
          <w:szCs w:val="21"/>
        </w:rPr>
        <w:t>填写表格，结合下表，比较分析杜甫和诸葛亮，思考他为什么要刻画诸葛亮“蜀相”的形象？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Times New Roman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4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诸葛亮</w:t>
            </w: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时代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才情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理想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付出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spacing w:line="360" w:lineRule="exac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2.根据语境默写</w:t>
      </w:r>
    </w:p>
    <w:p>
      <w:pPr>
        <w:spacing w:line="360" w:lineRule="exac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(1)《蜀相》中，将对诸葛亮的崇敬、仰慕和叹惋之情跟自己壮志难酬的苦痛熔铸成千古名句的是“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　，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”。</w:t>
      </w:r>
    </w:p>
    <w:p>
      <w:pPr>
        <w:spacing w:line="360" w:lineRule="exac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(2)《蜀相》中，以乐景写哀情，感叹碧草娇莺无人赏玩，显出英雄长逝，遗迹荒落，流露出对诸葛亮的深沉悲痛的句子是“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，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　”。</w:t>
      </w:r>
    </w:p>
    <w:p>
      <w:pPr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(3)《蜀相》中，以幽静的春景衬托出庄严肃穆气氛的句子是“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　？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　　　　　　　　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　”。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</w:rPr>
      </w:pPr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  <w:docVar w:name="KSO_WPS_MARK_KEY" w:val="06dfa0e8-b08d-41c4-b739-504cca70bf91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2785F7E"/>
    <w:rsid w:val="038D232D"/>
    <w:rsid w:val="14AC7018"/>
    <w:rsid w:val="153155B1"/>
    <w:rsid w:val="1C0C655A"/>
    <w:rsid w:val="219534C9"/>
    <w:rsid w:val="33D25BC0"/>
    <w:rsid w:val="357E0CC8"/>
    <w:rsid w:val="425C7FAA"/>
    <w:rsid w:val="4427179B"/>
    <w:rsid w:val="65AD14D2"/>
    <w:rsid w:val="6AA33E09"/>
    <w:rsid w:val="6D4D2691"/>
    <w:rsid w:val="70455963"/>
    <w:rsid w:val="73C31078"/>
    <w:rsid w:val="763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9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5378</Words>
  <Characters>5516</Characters>
  <Lines>78</Lines>
  <Paragraphs>22</Paragraphs>
  <TotalTime>7</TotalTime>
  <ScaleCrop>false</ScaleCrop>
  <LinksUpToDate>false</LinksUpToDate>
  <CharactersWithSpaces>5727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Administrator</cp:lastModifiedBy>
  <dcterms:modified xsi:type="dcterms:W3CDTF">2023-03-27T01:58:38Z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40E9B70E2E454B16A2F1A096FC977749</vt:lpwstr>
  </property>
</Properties>
</file>