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 xml:space="preserve">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西汉与东汉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——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统一多民族封建国家的巩固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27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</w:rPr>
        <w:t>通过了解两汉时期的社会矛盾和农民起义，认识两汉衰亡的原因。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1、东汉光武帝吸取西汉后期的教训，对新建王朝采取了哪些巩固性措施？效果如何？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、分别列举两汉在史学、文学和科技方面的具体成就。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1、阅读教材第21页“史料阅读”，请回答：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（1）结合董仲舒的新儒学主张，分析汉武帝接纳董仲舒“尊崇儒术”建议的原因及实质。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（2）根据当时的政治形势，结合所学评价汉武帝与秦始皇统一思想的做法。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default" w:ascii="宋体" w:hAnsi="宋体" w:eastAsia="宋体" w:cs="Times New Roman"/>
          <w:szCs w:val="21"/>
          <w:lang w:eastAsia="zh-Hans"/>
        </w:rPr>
        <w:t>2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、根据教材第22-23页的内容，指出西汉与东汉衰亡的原因？给后世留下了怎样的历史教训？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1584960"/>
                <wp:effectExtent l="6350" t="6350" r="635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84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124.8pt;width:501pt;z-index:251660288;v-text-anchor:middle;mso-width-relative:page;mso-height-relative:page;" filled="f" stroked="t" coordsize="21600,21600" o:gfxdata="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JVSXYAAAACAEAAA8AAAAAAAAAAQAgAAAAIgAAAGRycy9k&#10;b3ducmV2LnhtbFBLAQIUABQAAAAIAIdO4kAsZyUY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江苏省仪征中学2023-2024学年度第一学期高一历史学科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课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西汉与东汉——统一多民族封建国家的巩固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27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25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选择题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1．汉代《九章算术》中有“方田”“粟米”“均输”(计算赋税)等章节，其内容多是与农业社会相关的计算问答。这体现了中国古代科技的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A．理论性 </w:t>
      </w:r>
      <w:r>
        <w:rPr>
          <w:rFonts w:hint="default" w:hAnsi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 B．实用性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C．复杂性</w:t>
      </w:r>
      <w:r>
        <w:rPr>
          <w:rFonts w:hint="default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 D．文学性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2．东汉光武帝时期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三公高高在上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享受一万石的俸禄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却没有实权。尚书台的长官尚书令掌管朝廷大权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却没有三公的地位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俸禄只有一千石。东汉前期这一局面反映出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A.中央决策机构日益臃肿</w:t>
      </w:r>
      <w:r>
        <w:rPr>
          <w:rFonts w:hint="default" w:hAnsi="宋体" w:cs="宋体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B.君主的权力得到了加强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C.外戚专权受到一定遏制</w:t>
      </w:r>
      <w:r>
        <w:rPr>
          <w:rFonts w:hint="default" w:hAnsi="宋体" w:cs="宋体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D.贵族等级体系日趋严格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3．东汉的建立者励精图治,使国家出现了“光武中兴”的盛世局面。但好景不长,东汉中后期,国家却走向衰落,主要原因是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A.皇帝幼龄即位</w:t>
      </w:r>
      <w:r>
        <w:rPr>
          <w:rFonts w:hint="default" w:hAnsi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　B.外戚宦官专权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C.黄巾军大起义</w:t>
      </w:r>
      <w:r>
        <w:rPr>
          <w:rFonts w:hint="default" w:hAnsi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　D.地方军阀割据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4．公元189年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天下“诸侯”共讨董卓之时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益州牧刘焉不仅不出兵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还从由中原流亡至益州的数万流民中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编选出一支精壮部队。两年后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中央派出的使臣和将领屡屡被刘焉击杀。由此可知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当时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A.中央集权得到加强</w:t>
      </w:r>
      <w:r>
        <w:rPr>
          <w:rFonts w:hint="default" w:hAnsi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B.地方割据势力强大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C.流民成为主要兵员</w:t>
      </w:r>
      <w:r>
        <w:rPr>
          <w:rFonts w:hint="default" w:hAnsi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D.刘姓宗室地位下降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5．</w:t>
      </w:r>
      <w:r>
        <w:rPr>
          <w:rFonts w:hint="eastAsia" w:ascii="宋体" w:hAnsi="宋体" w:eastAsia="宋体" w:cs="宋体"/>
          <w:b w:val="0"/>
          <w:bCs/>
          <w:szCs w:val="21"/>
        </w:rPr>
        <w:t>郭沫若曾说:“司马迁这位史学大师实在值得我们夸耀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他的一部《史记》不啻是我们中国的一部古代的史诗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或者说它是一部历史小说集也可以。”这肯定了《史记》的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A.伦理价值　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Cs w:val="21"/>
        </w:rPr>
        <w:t>B.开创性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/>
          <w:szCs w:val="21"/>
        </w:rPr>
        <w:t>C.文学价值　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Cs w:val="21"/>
        </w:rPr>
        <w:t>D.客观性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汉乐府诗内容丰富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有表现民众生活悲苦的《病妇行》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有控诉战争残酷的《战城南》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有追求爱情、反抗封建礼教的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有所思</w:t>
      </w:r>
      <w:r>
        <w:rPr>
          <w:rFonts w:hint="default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还有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鞭挞统治阶级荒淫与贪婪的</w:t>
      </w:r>
      <w:r>
        <w:rPr>
          <w:rFonts w:hint="default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相逢行</w:t>
      </w:r>
      <w:r>
        <w:rPr>
          <w:rFonts w:hint="default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》。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由此可见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汉代乐府诗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A.具有现实主义的艺术特点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B.完全反映了汉朝的历史状况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C.缓和了当时社会阶级矛盾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D.是官府体察民情的主要渠道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1957年陕西出土的灞桥纸、1986年甘肃天水放马滩古墓中出土的纸地图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它们均发掘于西汉时期的古墓和遗址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据此可知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A.西汉已出现书写用纸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B.造纸技术产生于西汉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C.“蔡侯纸”得到了推广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D.纸张成为随葬必需品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东汉时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光武帝在宫内设中常侍、小黄门、中黄门等宦官多人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掌管传达皇帝诏谕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参与政事。朝廷虽然设有三公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但是并无实权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只是给那些有资望的大臣享受名义上的尊荣。光武帝此举的主要目的是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A.加强中央集权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B.确保决策独断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C.提高行政效率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D.确保选官权力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西汉末年土地兼并现象十分严重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农民“无立锥之地”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王莽改制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一些王公大臣趁机加重对百姓的盘剥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绿林、赤眉应时而起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东汉末年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外戚宦官交替专权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毒害、敲诈百姓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民不堪命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纷纷起义。据此可知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A.两汉农民起义原因完全相同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B.两汉农民阶级民主意识开始觉醒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C.统治阶级激进改革激起民变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D.农民起义根源在于阶级矛盾激化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/>
          <w:szCs w:val="21"/>
        </w:rPr>
        <w:t>《后汉书·宦者列传》记载:“伦乃造意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用树肤、麻头及敝布、鱼网以为纸。元兴元年奏上之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帝善其能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自是莫不从用焉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故天下咸称‘蔡侯纸’。”由此可知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蔡侯纸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A.发轫中国造纸历史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Cs w:val="21"/>
        </w:rPr>
        <w:t>B.原料来源得以扩大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Cs w:val="21"/>
        </w:rPr>
        <w:t>C.制造工艺更加复杂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Cs w:val="21"/>
        </w:rPr>
        <w:t>D.生产遍布全国各地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 w:val="0"/>
          <w:bCs/>
          <w:szCs w:val="21"/>
        </w:rPr>
        <w:t>11.阅读材料,完成下列要求。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材料一 　民本思想滥觞于殷商至西周。到了春秋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孔子提出了“仁”的学说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主张“为政以德”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孟子集西周以来民本思想的大成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提出了“仁政”学说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主张“民贵君轻”。此外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这时期的儒家还提出了“众恶之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必察焉</w:t>
      </w:r>
      <w:r>
        <w:rPr>
          <w:rFonts w:hint="default" w:ascii="宋体" w:hAnsi="宋体" w:eastAsia="宋体" w:cs="宋体"/>
          <w:b w:val="0"/>
          <w:bCs/>
          <w:szCs w:val="21"/>
        </w:rPr>
        <w:t>；</w:t>
      </w:r>
      <w:r>
        <w:rPr>
          <w:rFonts w:hint="eastAsia" w:ascii="宋体" w:hAnsi="宋体" w:eastAsia="宋体" w:cs="宋体"/>
          <w:b w:val="0"/>
          <w:bCs/>
          <w:szCs w:val="21"/>
        </w:rPr>
        <w:t>众好之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必察焉”“民事不可缓也”“治国之道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必先富民”等民本思想</w:t>
      </w:r>
      <w:r>
        <w:rPr>
          <w:rFonts w:hint="default" w:ascii="宋体" w:hAnsi="宋体" w:eastAsia="宋体" w:cs="宋体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——摘编自游唤民《先秦儒家民本思想论》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材料二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Cs w:val="21"/>
        </w:rPr>
        <w:t>（董仲舒）把孟子的“性善论”与荀子的“性恶论”装进阴阳的框架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加上一个最高的主帅“天”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成为一种神秘的天人感应论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他所强调的不是从道德伦理意义上探讨人格的完善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而是着重论证君臣父子、夫妻之间“三纲”论之不可移位……但在政治学领域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他的大一统思想却有利于国家的巩固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而且适应了历史发展的潮流。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——张岂之《儒学思想的历史演变及其特点》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default" w:ascii="宋体" w:hAnsi="宋体" w:eastAsia="宋体" w:cs="宋体"/>
          <w:b w:val="0"/>
          <w:bCs/>
          <w:szCs w:val="21"/>
        </w:rPr>
        <w:t>（1）</w:t>
      </w:r>
      <w:r>
        <w:rPr>
          <w:rFonts w:hint="eastAsia" w:ascii="宋体" w:hAnsi="宋体" w:eastAsia="宋体" w:cs="宋体"/>
          <w:b w:val="0"/>
          <w:bCs/>
          <w:szCs w:val="21"/>
        </w:rPr>
        <w:t>根据材料一并结合所学知识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指出春秋战国时期儒家民本思想的核心内容。分析这一时期民本思想发展的原因。</w:t>
      </w:r>
      <w:r>
        <w:rPr>
          <w:rFonts w:hint="default" w:ascii="宋体" w:hAnsi="宋体" w:eastAsia="宋体" w:cs="宋体"/>
          <w:b w:val="0"/>
          <w:bCs/>
          <w:szCs w:val="21"/>
        </w:rPr>
        <w:t>（5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分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default" w:ascii="宋体" w:hAnsi="宋体" w:eastAsia="宋体" w:cs="宋体"/>
          <w:b w:val="0"/>
          <w:bCs/>
          <w:szCs w:val="21"/>
        </w:rPr>
        <w:t>（2）</w:t>
      </w:r>
      <w:r>
        <w:rPr>
          <w:rFonts w:hint="eastAsia" w:ascii="宋体" w:hAnsi="宋体" w:eastAsia="宋体" w:cs="宋体"/>
          <w:b w:val="0"/>
          <w:bCs/>
          <w:szCs w:val="21"/>
        </w:rPr>
        <w:t>根据材料二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概括西汉经过董仲舒改造后的儒家思想的主要特点及其政治影响。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三、补充训练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.我国历史上第一部纪传体断代史,主要记述了上起汉高祖元年,下至新朝王莽地皇四年共230年的史事,内容包括纪十二篇、表八篇、志十篇、传七十篇,共一百篇,八十万字。这部史书的作者是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A.春秋的孔子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B.西汉的司马迁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C.东汉的班固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D.南宋的朱熹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.西汉初年,政论家贾谊指出,当下形势就像是一个病人,小腿肿得像腰,脚趾肿得像大腿,不能屈伸自如。上述言论针对的问题是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A.农民起义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B.匈奴的威胁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C.王国问题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D.统治者的腐败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.两汉科技成就突出,成书于战国至西汉间的某专著,奠定了中医理论的基础。该专著为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A.《黄帝内经》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B.《神农本草经》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C.《九章算术》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D.《伤寒杂病论》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.西汉时期,汉武帝会亲自过问一切政务,令九卿不通过丞相而直接奏事。与此同时,他还提拔一批中下层官员作为自己的高级侍从和助手,替他出谋划策。汉武帝的这个措施推动形成的制度是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A.刺史制度　                         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B.三公九卿制度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C.均输平准制度　                     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D.中朝制度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.西汉陆贾认为:“秦始皇设刑罚,为车裂之诛,以敛奸邪,筑长城于戎境,以备胡、越,征大吞小,威震天下……秦非不欲治也,然失之者,乃举措太众、刑罚太极故也。”吸取这一教训,西汉的做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A.奉行儒学,以德治民                  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B.封诸侯王,因俗而治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C.设中朝官,强化君权                  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D.清静无为,与民休息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5DFEC816"/>
    <w:rsid w:val="63AF0FA4"/>
    <w:rsid w:val="7FFAC844"/>
    <w:rsid w:val="A2F7224F"/>
    <w:rsid w:val="FBD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2023-08-11T00:52:00Z</dcterms:created>
  <dc:creator>叶洛</dc:creator>
  <cp:lastModifiedBy>yzzx</cp:lastModifiedBy>
  <dcterms:modified xsi:type="dcterms:W3CDTF">2023-09-25T00:22:48Z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95E0C8B7AFEB4980B634D464062F5E38_41</vt:lpwstr>
  </property>
</Properties>
</file>