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江苏省仪征中学2023-2024学年度第一学期高一历史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提升训练</w:t>
      </w:r>
    </w:p>
    <w:p>
      <w:pPr>
        <w:numPr>
          <w:ilvl w:val="0"/>
          <w:numId w:val="0"/>
        </w:numPr>
        <w:spacing w:line="240" w:lineRule="auto"/>
        <w:ind w:left="2148" w:leftChars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研制人：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杨轻抒</w:t>
      </w:r>
      <w:r>
        <w:rPr>
          <w:rFonts w:hint="eastAsia" w:ascii="楷体" w:hAnsi="楷体" w:eastAsia="楷体" w:cs="楷体"/>
          <w:sz w:val="24"/>
          <w:szCs w:val="24"/>
        </w:rPr>
        <w:t xml:space="preserve">              审核人：金忠霞</w:t>
      </w:r>
    </w:p>
    <w:p>
      <w:pPr>
        <w:spacing w:line="240" w:lineRule="auto"/>
        <w:jc w:val="center"/>
        <w:rPr>
          <w:rFonts w:hint="eastAsia" w:ascii="楷体" w:hAnsi="楷体" w:eastAsia="楷体" w:cs="楷体"/>
          <w:sz w:val="24"/>
          <w:szCs w:val="24"/>
          <w:lang w:val="en-US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授课日期：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>2023.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10</w:t>
      </w:r>
      <w:r>
        <w:rPr>
          <w:rFonts w:hint="eastAsia" w:ascii="楷体" w:hAnsi="楷体" w:eastAsia="楷体" w:cs="楷体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7 </w:t>
      </w:r>
      <w:r>
        <w:rPr>
          <w:rFonts w:hint="eastAsia" w:ascii="楷体" w:hAnsi="楷体" w:eastAsia="楷体" w:cs="楷体"/>
          <w:bCs/>
          <w:kern w:val="2"/>
          <w:sz w:val="24"/>
          <w:szCs w:val="24"/>
          <w:lang w:eastAsia="zh-CN"/>
        </w:rPr>
        <w:t>作业时长：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val="en-US" w:eastAsia="zh-CN"/>
        </w:rPr>
        <w:t>10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eastAsia="zh-CN"/>
        </w:rPr>
        <w:t>分钟</w:t>
      </w:r>
    </w:p>
    <w:p>
      <w:pPr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Hans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Hans"/>
        </w:rPr>
        <w:t>选择题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bookmarkStart w:id="0" w:name="_Hlk142576481"/>
      <w:bookmarkEnd w:id="0"/>
      <w:r>
        <w:rPr>
          <w:rFonts w:hint="eastAsia" w:asciiTheme="minorEastAsia" w:hAnsiTheme="minorEastAsia" w:eastAsiaTheme="minorEastAsia" w:cstheme="minorEastAsia"/>
        </w:rPr>
        <w:t>1.三国时,南方出现了亩产五石稻的高产纪录,南朝时亩产则增长到十石,豫章(今江西北部)甚至创造了“一亩二十斛”(一斛即一石)的最高纪录。这种现象出现的主要原因是</w:t>
      </w:r>
      <w:r>
        <w:rPr>
          <w:rFonts w:hint="eastAsia" w:asciiTheme="minorEastAsia" w:hAnsiTheme="minorEastAsia" w:eastAsiaTheme="minorEastAsia" w:cstheme="minorEastAsia"/>
        </w:rPr>
        <w:tab/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A.先进生产技术传入　                   B.政府推行重农政策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C.南方自然条件优越　                   D.大批水利工程兴建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2.北周武帝进行了许多改革,使得当时“民役稍稀,租调年增,兵师日盛,东平齐国(北齐),西伐妖戎,国安民乐”。这一局面的出现</w:t>
      </w:r>
      <w:r>
        <w:rPr>
          <w:rFonts w:hint="eastAsia" w:asciiTheme="minorEastAsia" w:hAnsiTheme="minorEastAsia" w:eastAsiaTheme="minorEastAsia" w:cstheme="minorEastAsia"/>
        </w:rPr>
        <w:tab/>
      </w:r>
      <w:bookmarkStart w:id="1" w:name="_GoBack"/>
      <w:bookmarkEnd w:id="1"/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A.掩盖了南北分裂的隐患                   B.说明南北经济格局发生逆转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C.根植于农民负担的加重                   D.为南北统一奠定了初步基础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3.北魏太和十九年(495年),孝文帝规定“迁洛之民,死葬河南,不得还北。于是代人南迁者,悉为河南洛阳人”。孝文帝的此项改革措施</w:t>
      </w:r>
      <w:r>
        <w:rPr>
          <w:rFonts w:hint="eastAsia" w:asciiTheme="minorEastAsia" w:hAnsiTheme="minorEastAsia" w:eastAsiaTheme="minorEastAsia" w:cstheme="minorEastAsia"/>
        </w:rPr>
        <w:tab/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A.解决了平城粮食供应困难问题            B.缓解了洛阳地区的社会矛盾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C.有利于加强对中原地区的统治            D.防止了北方少数民族的袭扰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</w:rPr>
        <w:t>.一般来说,胡服重视的是其实用功能,这种特点导致服饰只能够满足日常生活的穿着需要。而在汉族的衣冠制度中,在质料、图案花纹、色彩及各种装饰品上有着严格的阶级地位区分。由此可推知,北魏孝文帝改革服饰的重要目的是</w:t>
      </w:r>
      <w:r>
        <w:rPr>
          <w:rFonts w:hint="eastAsia" w:asciiTheme="minorEastAsia" w:hAnsiTheme="minorEastAsia" w:eastAsiaTheme="minorEastAsia" w:cstheme="minorEastAsia"/>
        </w:rPr>
        <w:tab/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A.加速民族交融　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</w:rPr>
        <w:t xml:space="preserve">  B.规范统治秩序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</w:rPr>
        <w:t xml:space="preserve">C.接受汉族文化　  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 xml:space="preserve">   D.缓和民族矛盾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</w:rPr>
        <w:t>.北魏孝文帝改革庙号,推最先在中原进行统治的拓跋珪为太祖,不再为鲜卑贵族部落首领的祖先设庙拜祭。在庙号改定后,“非太祖子孙”及异姓封王、公、侯、伯者,皆降一等。这些举措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A.消除了传统贵族的影响                  B.宣示了政权的合法性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C.减少了国家改革的阻力                  D.开始了政权的封建化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</w:rPr>
        <w:t>.北周取代西魏后,统治者以周为国号,以《周礼》为依据改革官制,实行六官之制,即天官、地官、春官、夏官、秋官、冬官。这种现象反映出</w:t>
      </w:r>
      <w:r>
        <w:rPr>
          <w:rFonts w:hint="eastAsia" w:asciiTheme="minorEastAsia" w:hAnsiTheme="minorEastAsia" w:eastAsiaTheme="minorEastAsia" w:cstheme="minorEastAsia"/>
        </w:rPr>
        <w:tab/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A.北方民族冲突的加剧                    B.汉制不适应北周政权需要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C.当时华夏认同的加强                    D.南北方民族交融逐步加深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</w:rPr>
        <w:t>.东晋后期,太原王氏继陈郡谢氏之后居于权势地位,但并非以门阀之重与司马氏共治天下。太原王氏各支无人才亦无事功,不足以制约皇权并维持政局的平衡,只能分别依附司马氏以贪图门户利益。这折射出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A.门阀政治趋向衰落                       B.庶族地主掌握大权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C.选官制度发生变革                       D.门第观念逐渐淡化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</w:rPr>
        <w:t>.三国两晋时期,曹魏政权在北方开凿了淮阳渠、百尺渠、广漕渠等运河,东吴、西晋、东晋等政权也在南方开凿了运河。这些运河的开凿</w:t>
      </w:r>
      <w:r>
        <w:rPr>
          <w:rFonts w:hint="eastAsia" w:asciiTheme="minorEastAsia" w:hAnsiTheme="minorEastAsia" w:eastAsiaTheme="minorEastAsia" w:cstheme="minorEastAsia"/>
        </w:rPr>
        <w:tab/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A.加剧了南北对峙的局面                    B.推动了纳庸代役的赋税改革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C.有利于区域经济的开发                    D.促进了经济重心南移的完成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</w:rPr>
        <w:t>.从秦代到明末一千八百多年中,被篡弑的君主共101人,其中三国4人,两晋(不含十六国)9人,南朝16人,北朝19人,占比约为47.5%,而时间只有三百多年。这折射出三国两晋南北朝时期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A.政治局面长期动荡                        B.中央集权严重削弱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C.国家治理秩序混乱                        D.民族交融影响稳定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27635AC1"/>
    <w:rsid w:val="2763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2023-10-05T05:39:00Z</dcterms:created>
  <dc:creator>yzzx</dc:creator>
  <cp:lastModifiedBy>yzzx</cp:lastModifiedBy>
  <dcterms:modified xsi:type="dcterms:W3CDTF">2023-10-05T05:52:08Z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47E7EE5706B348189889F5341EF2D81E_11</vt:lpwstr>
  </property>
</Properties>
</file>