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学年度第一学期高一历史学科导学案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 xml:space="preserve">课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诸侯纷争与变法运动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1课时</w:t>
      </w:r>
    </w:p>
    <w:p>
      <w:pPr>
        <w:numPr>
          <w:ilvl w:val="0"/>
          <w:numId w:val="0"/>
        </w:numPr>
        <w:ind w:left="2148" w:leftChars="0"/>
        <w:jc w:val="both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审核人：金忠霞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ascii="楷体" w:hAnsi="楷体" w:eastAsia="楷体" w:cs="Times New Roman"/>
          <w:sz w:val="24"/>
          <w:szCs w:val="24"/>
          <w:u w:val="single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11</w:t>
      </w:r>
    </w:p>
    <w:p>
      <w:pPr>
        <w:spacing w:line="36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【课标</w:t>
      </w:r>
      <w:r>
        <w:rPr>
          <w:rFonts w:hint="eastAsia" w:ascii="宋体" w:hAnsi="宋体" w:eastAsia="宋体" w:cs="Times New Roman"/>
          <w:b/>
          <w:szCs w:val="21"/>
          <w:lang w:val="en-US" w:eastAsia="zh-Hans"/>
        </w:rPr>
        <w:t>要求</w:t>
      </w:r>
      <w:r>
        <w:rPr>
          <w:rFonts w:hint="eastAsia" w:ascii="宋体" w:hAnsi="宋体" w:eastAsia="宋体" w:cs="Times New Roman"/>
          <w:b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Times New Roman"/>
          <w:b w:val="0"/>
          <w:bCs/>
          <w:szCs w:val="21"/>
          <w:lang w:eastAsia="zh-Hans"/>
        </w:rPr>
      </w:pPr>
      <w:r>
        <w:rPr>
          <w:rFonts w:hint="eastAsia" w:ascii="宋体" w:hAnsi="宋体" w:eastAsia="宋体" w:cs="Times New Roman"/>
          <w:b w:val="0"/>
          <w:bCs/>
          <w:szCs w:val="21"/>
          <w:lang w:val="en-US" w:eastAsia="zh-Hans"/>
        </w:rPr>
        <w:t>通过了解春秋战国时期的经济发展和政治变动</w:t>
      </w:r>
      <w:r>
        <w:rPr>
          <w:rFonts w:hint="default" w:ascii="宋体" w:hAnsi="宋体" w:eastAsia="宋体" w:cs="Times New Roman"/>
          <w:b w:val="0"/>
          <w:bCs/>
          <w:szCs w:val="21"/>
          <w:lang w:eastAsia="zh-Hans"/>
        </w:rPr>
        <w:t>，</w:t>
      </w:r>
      <w:r>
        <w:rPr>
          <w:rFonts w:hint="eastAsia" w:ascii="宋体" w:hAnsi="宋体" w:eastAsia="宋体" w:cs="Times New Roman"/>
          <w:b w:val="0"/>
          <w:bCs/>
          <w:szCs w:val="21"/>
          <w:lang w:val="en-US" w:eastAsia="zh-Hans"/>
        </w:rPr>
        <w:t>理解战国时期变法运动的必然性</w:t>
      </w:r>
      <w:r>
        <w:rPr>
          <w:rFonts w:hint="default" w:ascii="宋体" w:hAnsi="宋体" w:eastAsia="宋体" w:cs="Times New Roman"/>
          <w:b w:val="0"/>
          <w:bCs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1、春秋战国时期政治局面发生了什么样的变化？春秋战国时期的战争带来哪些影响？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2、春秋战国时期经济领域出现了哪些新变化？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eastAsia="zh-CN" w:bidi="ar-SA"/>
        </w:rPr>
        <w:t>3、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商鞅变法的内容有哪些？商鞅变法有何影响？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【重难点化解】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  <w:r>
        <w:rPr>
          <w:rFonts w:hint="default" w:ascii="宋体" w:hAnsi="宋体" w:eastAsia="宋体" w:cs="Times New Roman"/>
          <w:szCs w:val="21"/>
          <w:lang w:eastAsia="zh-Hans"/>
        </w:rPr>
        <w:t>1、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仔细对比《春秋列国形势图》</w:t>
      </w:r>
      <w:r>
        <w:rPr>
          <w:rFonts w:hint="default" w:ascii="宋体" w:hAnsi="宋体" w:eastAsia="宋体" w:cs="Times New Roman"/>
          <w:szCs w:val="21"/>
          <w:lang w:eastAsia="zh-Hans"/>
        </w:rPr>
        <w:t>（</w:t>
      </w:r>
      <w:r>
        <w:rPr>
          <w:rFonts w:hint="eastAsia" w:ascii="宋体" w:hAnsi="宋体" w:eastAsia="宋体" w:cs="Times New Roman"/>
          <w:szCs w:val="21"/>
        </w:rPr>
        <w:t>教材P</w:t>
      </w:r>
      <w:r>
        <w:rPr>
          <w:rFonts w:hint="default" w:ascii="宋体" w:hAnsi="宋体" w:eastAsia="宋体" w:cs="Times New Roman"/>
          <w:szCs w:val="21"/>
        </w:rPr>
        <w:t>9）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和《战国形势图》</w:t>
      </w:r>
      <w:r>
        <w:rPr>
          <w:rFonts w:hint="default" w:ascii="宋体" w:hAnsi="宋体" w:eastAsia="宋体" w:cs="Times New Roman"/>
          <w:szCs w:val="21"/>
          <w:lang w:eastAsia="zh-Hans"/>
        </w:rPr>
        <w:t>（</w:t>
      </w:r>
      <w:r>
        <w:rPr>
          <w:rFonts w:hint="eastAsia" w:ascii="宋体" w:hAnsi="宋体" w:eastAsia="宋体" w:cs="Times New Roman"/>
          <w:szCs w:val="21"/>
        </w:rPr>
        <w:t>教材P1</w:t>
      </w:r>
      <w:r>
        <w:rPr>
          <w:rFonts w:hint="default" w:ascii="宋体" w:hAnsi="宋体" w:eastAsia="宋体" w:cs="Times New Roman"/>
          <w:szCs w:val="21"/>
        </w:rPr>
        <w:t>0）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，分析春秋与战国有哪些明显的区别？思考“华夏认同” 与《战国形势图》有什么联系？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观察</w:t>
      </w:r>
      <w:r>
        <w:rPr>
          <w:rFonts w:hint="eastAsia" w:ascii="宋体" w:hAnsi="宋体" w:eastAsia="宋体" w:cs="Times New Roman"/>
          <w:szCs w:val="21"/>
        </w:rPr>
        <w:t>“春秋战国时期各国货币”图</w:t>
      </w:r>
      <w:r>
        <w:rPr>
          <w:rFonts w:hint="default"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教材P11</w:t>
      </w:r>
      <w:r>
        <w:rPr>
          <w:rFonts w:hint="default" w:ascii="宋体" w:hAnsi="宋体" w:eastAsia="宋体" w:cs="Times New Roman"/>
          <w:szCs w:val="21"/>
        </w:rPr>
        <w:t>），</w:t>
      </w:r>
      <w:r>
        <w:rPr>
          <w:rFonts w:hint="eastAsia" w:ascii="宋体" w:hAnsi="宋体" w:eastAsia="宋体" w:cs="Times New Roman"/>
          <w:szCs w:val="21"/>
        </w:rPr>
        <w:t>图片反映出怎样的社会现实？为什么会出现这种现象？这种现象对工商业发展会有何影响？你有何启示？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【课后巩固练习】</w:t>
      </w:r>
      <w:r>
        <w:rPr>
          <w:rFonts w:hint="eastAsia" w:ascii="宋体" w:hAnsi="宋体" w:eastAsia="宋体" w:cs="Times New Roman"/>
          <w:b w:val="0"/>
          <w:bCs/>
          <w:szCs w:val="21"/>
        </w:rPr>
        <w:t>完成高一</w:t>
      </w:r>
      <w:r>
        <w:rPr>
          <w:rFonts w:hint="eastAsia" w:ascii="宋体" w:hAnsi="宋体" w:eastAsia="宋体" w:cs="Times New Roman"/>
          <w:szCs w:val="21"/>
        </w:rPr>
        <w:t>历史学科作业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【反思感悟】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8890</wp:posOffset>
                </wp:positionV>
                <wp:extent cx="6362700" cy="1584960"/>
                <wp:effectExtent l="6350" t="6350" r="635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5849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0.7pt;height:124.8pt;width:501pt;z-index:251660288;v-text-anchor:middle;mso-width-relative:page;mso-height-relative:page;" filled="f" stroked="t" coordsize="21600,21600" o:gfxdata="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JJVSXYAAAACAEAAA8AAAAAAAAAAQAgAAAAIgAAAGRycy9k&#10;b3ducmV2LnhtbFBLAQIUABQAAAAIAIdO4kAsZyUYAgIAABIEAAAOAAAAAAAAAAEAIAAAACc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江苏省仪征中学2023-2024学年度第一学期高一历史学科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课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诸侯纷争与变法运动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1课时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楷体"/>
          <w:sz w:val="24"/>
          <w:szCs w:val="24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11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25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eastAsia="zh-Hans" w:bidi="ar-SA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选择题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1．当晋楚两国争霸中原时，长江下游的吴国逐渐崛起。晋国为了对付楚国，就联合吴国，吴、楚之间多次发生战争。吴国大举伐楚，节节胜利，一直打到楚都，楚国国力大大削弱。这些战争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A．促进了区域统一和社会大变革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B．属于周初封国之间争权夺利的斗争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C．使周朝传统的政治秩序完全被破坏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D．说明分封制和宗法制已经彻底瓦解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2．元人陈孚《题管仲井》诗曰：“画野分民乱井田，百王礼乐散寒烟。”这反映了春秋战国时期的时代特征是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  铁犁牛耕推广    B．争霸战争频繁</w:t>
      </w:r>
      <w:r>
        <w:rPr>
          <w:rFonts w:hint="default" w:hAnsi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C．各国变法图强     D．社会动荡变革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hAnsi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春秋时期，中原各国因社会发展比相邻的戎狄蛮夷先进，自称“华夏”。在频繁的往来和密切联系中，进入战国以后，戎狄蛮夷逐渐融入华夏族。华夏族吸收了大量新鲜血液，更加稳定，分布更加广泛。这反映了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A．国家统一   </w:t>
      </w:r>
      <w:r>
        <w:rPr>
          <w:rFonts w:hint="default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B．华夏认同</w:t>
      </w:r>
      <w:r>
        <w:rPr>
          <w:rFonts w:hint="default" w:hAnsi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C．列国纷争    D．诸侯称王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hAnsi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．战国时期，商鞅把原来的“阡陌封疆”统统破除，重新设置田界，不许私自移动；并把土地授给农民，土地可以买卖。这种做法实际上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A．确立了土地私有制</w:t>
      </w:r>
      <w:r>
        <w:rPr>
          <w:rFonts w:hint="default" w:hAnsi="宋体" w:cs="宋体"/>
          <w:sz w:val="21"/>
          <w:szCs w:val="21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B．巩固了奴隶主的权力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C．进一步推广了井田制</w:t>
      </w:r>
      <w:r>
        <w:rPr>
          <w:rFonts w:hint="default" w:hAnsi="宋体" w:cs="宋体"/>
          <w:sz w:val="21"/>
          <w:szCs w:val="21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D．将所有土地公有化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周平王死后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桓王继位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周王室与郑国矛盾激化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最终兵戎相见。交战中郑国的祝聃一箭射中周桓王的肩膀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桓王只好率军狼狈撤走。郑国派人去“慰问”周桓王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桓王只好忍气吞声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不了了之。这说明当时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A.分封制度遭到破坏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B.礼乐制度彻底崩溃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C.宗法制度荡然无存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D.王位世袭制度结束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公元前481年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大贵族田氏将国内其他大贵族剿灭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扩大了自己的势力。公元前476年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田氏完全掌握了政权。发生上述事件的诸侯国位于图中的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79725" cy="2483485"/>
            <wp:effectExtent l="0" t="0" r="15875" b="5715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A.①处　　B.②处　　C.③处　　D.④处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春秋战国时期是大变革时期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从西周的“政自天子出”变为了“政自诸侯出”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而后又相继出现了“政自大夫出”“政自臣宰出”的现象。这表明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A.周王室统治广布四方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B.争霸战争日益频繁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C.分封宗法制遭到破坏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D.民族交融不断加强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春秋初期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姬姓的鲁、蔡、卫、晋、郑、燕等诸侯国被称为“诸夏”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到战国时期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曾被看作蛮夷的秦、楚、越等地处边远或外姓的诸侯国也被称为“诸夏”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这说明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A.国家逐渐走向统一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B.华夏认同观念发展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C.各国地位趋于平等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D.蛮夷观念遭到摈弃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春秋战国时期的经济有重大发展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农业进步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工商业繁荣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货币流通广泛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各地涌现出一批人口众多、商贾云集的中心城市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这一时期经济的发展主要得益于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A.铁犁和牛耕的使用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B.土地私有制的确立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C.劳动者身份的变化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D.郡县制的普遍推行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/>
          <w:szCs w:val="21"/>
        </w:rPr>
        <w:t>春秋战国时期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与铭刻文字有关的工具有</w:t>
      </w:r>
      <w:r>
        <w:rPr>
          <w:rFonts w:hint="default" w:ascii="宋体" w:hAnsi="宋体" w:eastAsia="宋体" w:cs="宋体"/>
          <w:b w:val="0"/>
          <w:bCs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szCs w:val="21"/>
        </w:rPr>
        <w:t>锛、凿、锥、锤、刮刀、削、钩、针、锯、斧。《管子·海王篇》称</w:t>
      </w:r>
      <w:r>
        <w:rPr>
          <w:rFonts w:hint="default" w:ascii="宋体" w:hAnsi="宋体" w:eastAsia="宋体" w:cs="宋体"/>
          <w:b w:val="0"/>
          <w:bCs/>
          <w:szCs w:val="21"/>
        </w:rPr>
        <w:t>：</w:t>
      </w:r>
      <w:r>
        <w:rPr>
          <w:rFonts w:hint="eastAsia" w:ascii="宋体" w:hAnsi="宋体" w:eastAsia="宋体" w:cs="宋体"/>
          <w:b w:val="0"/>
          <w:bCs/>
          <w:szCs w:val="21"/>
        </w:rPr>
        <w:t>工匠必有斧、锛、凿、锯、锤。出现这些工具的直接原因是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A.社会经济的进步　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Cs w:val="21"/>
        </w:rPr>
        <w:t>B.铁犁牛耕的推广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C.政治改革的影响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Cs w:val="21"/>
        </w:rPr>
        <w:t>　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</w:rPr>
        <w:t>D.冶炼技术的发展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  <w:t>二</w:t>
      </w:r>
      <w:r>
        <w:rPr>
          <w:rFonts w:hint="default" w:ascii="宋体" w:hAnsi="宋体" w:eastAsia="宋体" w:cs="宋体"/>
          <w:b/>
          <w:bCs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  <w:t>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b w:val="0"/>
          <w:bCs/>
          <w:szCs w:val="21"/>
        </w:rPr>
        <w:t>11.阅读材料,完成下列要求。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材料一</w:t>
      </w:r>
      <w:r>
        <w:rPr>
          <w:rFonts w:hint="default" w:ascii="宋体" w:hAnsi="宋体" w:eastAsia="宋体" w:cs="宋体"/>
          <w:b w:val="0"/>
          <w:bCs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 xml:space="preserve">入境，观其风俗，其百姓朴，其声乐不流污，其服不挑（佻），甚畏有司而顺，古之民也。及都邑官府，其百吏萧然，莫不恭俭、敦敬、忠信而不楛（粗劣的），古之吏也。入其国，观其士大夫，出于其门，入于公门，归于其家，无有私事也；不比周，不朋党，倜然莫不明通而公也，古之士大夫也。观其朝廷，其朝间，听决百事不留，恬然如无治者，古之朝也。                      </w:t>
      </w:r>
      <w:r>
        <w:rPr>
          <w:rFonts w:hint="default" w:ascii="宋体" w:hAnsi="宋体" w:eastAsia="宋体" w:cs="宋体"/>
          <w:b w:val="0"/>
          <w:bCs/>
          <w:szCs w:val="21"/>
          <w:lang w:eastAsia="zh-Hans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——《荀子疆国》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材料二</w:t>
      </w:r>
      <w:r>
        <w:rPr>
          <w:rFonts w:hint="default" w:ascii="宋体" w:hAnsi="宋体" w:eastAsia="宋体" w:cs="宋体"/>
          <w:b w:val="0"/>
          <w:bCs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（商鞅的法令）行之二岁，秦俗日败。故秦人家富子壮则出分，家贫子壮则出赘，借父耰钮（指农具），虑有德色（指脸上显出给父亲恩德的表情）；母取箕帚，立而谇语（指恶语相加）……妇姑不相说，则反唇而相稽。其慈子耆利（指爱自己的孩子、贪求财利），不同禽兽者亡几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——《治安策》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（1）材料一反映了商鞅变法后“百姓”“百吏”“士大夫”“朝廷”的生存现状，分析导致这一现状的原因。（3分）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（2）商鞅变法中的哪些内容导致了材料二所述社会风气的变化？（4分）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Hans" w:bidi="ar-SA"/>
        </w:rPr>
        <w:t>（3）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结合上述材料，概括商鞅变法的特征。（3分</w:t>
      </w:r>
      <w:r>
        <w:rPr>
          <w:rFonts w:hint="default" w:ascii="宋体" w:hAnsi="宋体" w:eastAsia="宋体" w:cs="宋体"/>
          <w:b w:val="0"/>
          <w:bCs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补充训练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1.“周室衰微,诸侯强并弱,齐、楚、秦、晋始大,政由方伯。”这实质上反映了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A.各国纷纷变法图强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B.社会性质发生变革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C.边疆诸侯争霸中原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D.西周分封趋于瓦解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2.春秋战国时期各民族频繁往来,与中原各诸侯国相比邻的戎狄蛮夷逐渐融入华夏族,产生了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A.宗法认同观念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B.华夏认同观念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C.胡汉平等观念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D.朝贡贸易观念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3.从春秋到战国,我国民族关系出现重要变化,主要表现在周边各族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A.大量迁居黄河流域                  B.生产方式迅速封建化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C.华夏认同不断发展                  D.采用汉族的典章制度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4.《史记·苏秦列传》载:“临淄之涂,车毂(gǔ)击,人肩摩,连衽成帷,举袂成幕,挥汗成雨,家殷人足,志高气扬。”该景象的出现根源于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A.铁犁牛耕的使用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B.商鞅变法的推动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C.礼乐制度的崩溃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D.华夏认同的形成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5.下表为某同学总结商鞅变法的部分内容。若完善此表,在经济方面可添加的措施是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</w:p>
    <w:tbl>
      <w:tblPr>
        <w:tblStyle w:val="5"/>
        <w:tblW w:w="1543" w:type="pct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3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军事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奖励军功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2100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推行县制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A.奖励耕织,重农抑商                   B.严刑酷法,轻罪重罚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C.与民休息,轻徭薄赋                   D.什伍连坐,相互监督</w:t>
      </w:r>
    </w:p>
    <w:bookmarkEnd w:id="0"/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6D85583E"/>
    <w:rsid w:val="A2F7224F"/>
    <w:rsid w:val="CBDC8575"/>
    <w:rsid w:val="E5EC10EB"/>
    <w:rsid w:val="FBD30A1C"/>
    <w:rsid w:val="FF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2023-08-11T00:52:00Z</dcterms:created>
  <dc:creator>叶洛</dc:creator>
  <cp:lastModifiedBy>yzzx</cp:lastModifiedBy>
  <dcterms:modified xsi:type="dcterms:W3CDTF">2023-09-11T06:11:02Z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95E0C8B7AFEB4980B634D464062F5E38_41</vt:lpwstr>
  </property>
</Properties>
</file>