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江苏省仪征中学2024-2025学年度第一学期高一政治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第二课  我国的社会主义市场经济体制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2.1 充分发挥市场在资源配置中的决定性作用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研制人：解晓玲 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60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一、单选题。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2024年6月4日，网红博主“B太”发视频称长沙水果市场的商家存在“阴阳称”“低标高结”行为。随后，官方回应B太长沙夜市打假，整顿红星水果市场，没收销毁计量器具，发现不诚信经营行为153起，立案查处11起。市场中部分商家唯利是图的做法体现了市场调节的（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盲目性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自发性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滞后性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竞争性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京广高铁武广段等4条高铁运行的时速300公里及以上动车组列车于2024年6月15日实行灵活折扣、有升有降的市场化票价机制。对一些停站较多、方便沿线旅客的列车车票进行较大幅度打折，最低折扣5.5折、较原票价低34%；对一些旅速较快、长期供不应求的列车车票不打折，较原票价高20%。此举旨在（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①更好地发挥市场在资源配置中的决定性作用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②进一步完善完全由市场决定高铁票价的机制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③运用价格机制增加收入，实现经济效益最大化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④平衡高铁运力和市场需求，提高铁路运输效率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近年来，面对市场分割、地方保护主义行为时有发生的问题，国家市场监管总局持续加大纠治力度，组织各地区、各部门清理妨碍统一市场和公平竞争的政策措施，同时查处一批滥用行政权力排除、限制竞争的案件。这有助于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①根除市场调节的弱点和缺陷        ②促进资源在全社会合理配置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③提高企业市场竞争力和效益        ④加快全国统一大市场的建设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《中共中央国务院关于加快建设全国统一大市场的意见》强调，要加快建设高效规范、公平竞争、充分开放的全国统一大市场，为构建高水平社会主义市场经济体制提供重要支撑。这需要（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①消除市场调节弊端，促进商品要素资源在更大范围内畅通流动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②建设现代流通网络、推动交易平台优化升级，推进市场设施高标准联通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③健全商品质量体系、对外贸易体系等，推进商品和服务市场高水平统一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④破除地方保护和区域壁垒，进一步规范不正当市场竞争和市场干预行为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近年来，宣称功能食品非法添加药品、药品衍生物或类似物的违法案件时有发生，危害人民群众身体健康。广东省市场监管部门查办了宣称“减肥”功能食品非法添加药品、药品衍生物或类似物系列案件，依法吊销许可并处罚相关责任人。以下说法正确的是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①广东省市场监管部门通过市场监管规范市场秩序②社会主义市场经济要更加发挥市场的决定性作用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③市场监管部门要积极参与相关行业的运营和管理④这一举措有利于形成统一开放、竞争有序的市场体系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从2024年6月15日起，沪昆高铁沪杭段等四条高铁上运行的时速300公里及以上动车组列车，由原来的固定、单一票价机制优化调整为灵活折扣、有升有降的市场化票价机制。据此判断以下传导路径正确的是（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①高铁实行市场化票价机制→发挥性价比优势→在与公路、航空的客运竞争中胜出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②高铁运营维护成本提高→单一票价机制不适应经营形势→建立以市场为导向的票价机制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③高铁票价有升有降→优质优价、劣质劣价→调节均衡客流，丰富旅客出行选择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④发到时刻、旅时长短和客流分布等因素→高铁票价有升有降→提高铁路运输资源利用率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随着我国茶饮行业不断创新，茶饮市场在不断壮大。某兴趣小组对我国茶饮市场相关信息进行了调查研究。据此，下列推断正确的是（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360420" cy="1524635"/>
            <wp:effectExtent l="0" t="0" r="11430" b="18415"/>
            <wp:docPr id="100005" name="图片 100005" descr="@@@0fe80bbb-2ec1-4082-a305-6a096ae21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fe80bbb-2ec1-4082-a305-6a096ae216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①从消费层面看，茶饮消费的主体人群未有效拓展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②从发展前景看，茶饮市场规模下降，发展后劲不足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③从发展对策看，茶饮经营风险增加，竞争趋于激烈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④从市场层面看，茶饮市场的优胜劣汰效应将更为明显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2023年4月20日，中国农业展望大会发布《中国农业展望报告（2023-2032）》。该报告总结回顾了主要农产品2022年的市场形势，对未来10年尤其是2023年、2027年和2032年等重要时间节点的生产、消费、贸易、价格走势进行了展望，对存在的不确定性因素进行了分析和讨论。召开农业展望大会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①是基于它是国际上农业发达国家的通行做法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②有利于加强农业监测预警，保供给促增收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③助力增强农产品市场调控的主动性、前瞻性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④是基于科学分析，能避免农业生产经营的盲目性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2023年8月15日，新修订的《云南省定价目录》施行。此次定价项目从30个调整压缩为25个。保留的政府定价项目，都是关系国计民生的重要商品和服务价格，最大限度限于重要公用事业、公益性服务和网络型自然垄断环节。云南省此举目的是为了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①避免政府的价格干预，激发市场主体活力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②规范政府定价权力，明确责任和事权边界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③更好发挥政府在资源配置中的决定性作用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④增强政府定价管理透明度，便于公众监督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通过“底价+产权交易市场公开竞价+限价熔断”，引导新型农业经营主体自主理性参与竞价，射阳县的探索实践被吸收进2024年中央一号文件。文件指出，健全土地流转价格形成机制，探索防止流转费用不合理上涨有效办法。这一机制发生作用的传导路径合理的是(   )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①控制农业经营成本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②市场在资源配置中起决定性作用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③合理确定交易价格区间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④粮食稳产保供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⑤提高经营主体积极性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①→⑤→②→④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③→①→④→⑤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③→①→⑤→④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④→①→②→⑤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如图为我国2019—2024年智能门锁全渠道销量及增长率预测趋势图。据此，相关企业会采取的措施是（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70810" cy="1454785"/>
            <wp:effectExtent l="0" t="0" r="15240" b="12065"/>
            <wp:docPr id="100007" name="图片 100007" descr="@@@44956899-9696-441a-a4e8-230657b0e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4956899-9696-441a-a4e8-230657b0e1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①根据市场需求和竞争状况，制定合理的价格策略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②不断降低产品质量和价格，实现快速抢占市场份额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③制定有效的营销策略，提高品牌知名度和市场份额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④加大国际间技术交流，规范市场秩序，弥补市场缺陷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人无信不立，中华优秀传统文化强调重信践诺。习近平总书记鲜明提出:“推动金融高质量发展，积极培育中国特色金融文化，做到诚实守信”。由此可见（   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①推动金融高质量发展、建设金融强国，要坚持法治和德治相结合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②必须始终弘扬传统文化、坚持以义取利，实现社会效益和经济效益的统一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③社会主义市场经济是信用经济，市场规则是市场经济健康运行的重要保障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④要进一步完善社会信用体系建设，形成“守信受益失信惩戒”的社会信用环境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tbl>
      <w:tblPr>
        <w:tblStyle w:val="3"/>
        <w:tblpPr w:leftFromText="180" w:rightFromText="180" w:vertAnchor="text" w:horzAnchor="page" w:tblpX="1145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二、材料分析题。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.</w:t>
      </w:r>
      <w:r>
        <w:rPr>
          <w:rFonts w:hint="eastAsia" w:ascii="楷体" w:hAnsi="楷体" w:eastAsia="楷体" w:cs="楷体"/>
          <w:sz w:val="21"/>
          <w:szCs w:val="21"/>
        </w:rPr>
        <w:t>随着人民生活水平提高、养老服务需求增加以及三孩生育政策实施，居家养老、康复护理、育婴育幼、烹饪保洁等多样化的家政服务需求呈现刚性增长，家政服务市场规模不断扩大。目前，我国家政服务业的经营主体以民营中小微企业居多，以“中介制”模式为主，容易出现人员流动偏快、专业技能整体偏低、服务质量难保障等问题。近年来，我国先后出台《养老和家政服务标准化专项行动方案》《关于支持和引导家政服务业员工制转型发展的指导意见》，上线“家政信用查”小程序，积极探索通过财政扶持、税费减免等政策措施，鼓励有条件的家政企业积极发展员工制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从市场机制的角度，预测我国家政服务市场不断扩大带来的影响。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4.</w:t>
      </w:r>
      <w:r>
        <w:rPr>
          <w:rFonts w:hint="eastAsia" w:ascii="楷体" w:hAnsi="楷体" w:eastAsia="楷体" w:cs="楷体"/>
          <w:sz w:val="21"/>
          <w:szCs w:val="21"/>
        </w:rPr>
        <w:t>2023年3月15日，《四川省深化“放管服”改革优化营商环境2023年工作要点》正式印发，该要点指出，全面贯彻党的二十大和习近平总书记对四川工作系列重要指示精神，认真落实党中央、国务院和省委、省政府决策部署，拓展“一网通办”范围，实现100个事项“秒批秒办”、50个事项“零材料办”,提升政府服务质效。加强对妨碍统一市场、不正当竞争等问题的整治，完善常态化监管机制，持续清理和废止含市场准入限制和阻碍参与公平竞争的政策规定，对拖欠中小企业账款实施失信惩戒，制定出台外贸进出口货物标准作业程序参考和规范，持续提高通关效率。打造“四川效率”“四川服务”“四川诚信”营商环境新品牌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结合材料，运用“我国的社会主义市场经济体制”的相关知识，阐述四川省改革优化营商环境的依据。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sz w:val="21"/>
          <w:szCs w:val="21"/>
          <w:u w:val="dotted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r>
        <w:rPr>
          <w:rFonts w:hint="eastAsia" w:ascii="宋体" w:hAnsi="宋体" w:cs="宋体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12476F22"/>
    <w:rsid w:val="124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2024-11-12T10:47:00Z</dcterms:created>
  <dc:creator>庆阳</dc:creator>
  <cp:lastModifiedBy>庆阳</cp:lastModifiedBy>
  <dcterms:modified xsi:type="dcterms:W3CDTF">2024-11-12T10:47:57Z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D1751FBBAC9F45E194E773D1FB8F3B88</vt:lpwstr>
  </property>
</Properties>
</file>