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b/>
          <w:bCs/>
          <w:sz w:val="28"/>
          <w:szCs w:val="28"/>
          <w:lang w:eastAsia="zh-CN"/>
        </w:rPr>
      </w:pPr>
      <w:r>
        <w:rPr>
          <w:rFonts w:hint="eastAsia" w:ascii="宋体" w:hAnsi="宋体" w:eastAsia="宋体" w:cs="宋体"/>
          <w:sz w:val="21"/>
          <w:szCs w:val="21"/>
        </w:rPr>
        <w:drawing>
          <wp:inline distT="0" distB="0" distL="114300" distR="114300">
            <wp:extent cx="12700" cy="12700"/>
            <wp:effectExtent l="0" t="0" r="6350" b="127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黑体" w:hAnsi="宋体" w:eastAsia="黑体"/>
          <w:b/>
          <w:sz w:val="28"/>
          <w:szCs w:val="28"/>
        </w:rPr>
        <w:t>江苏省仪征中学2024-2025学年度第一学期高一政治</w:t>
      </w:r>
      <w:r>
        <w:rPr>
          <w:rFonts w:hint="eastAsia" w:ascii="黑体" w:hAnsi="宋体" w:eastAsia="黑体"/>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第一课  我国的生产资料所有制</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1.2坚持“两个毫不动摇”</w:t>
      </w:r>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napToGrid/>
        <w:spacing w:line="24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一、单选题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2023年10月，习近平总书记主持召开新时代推动东北全面振兴座谈会时强调，继续深化国有企业改革，实施国有企业振兴专项行动，提高国有企业核心竞争力，推动国有资本向重要行业和关键领域集中，强化战略支撑作用。由此可见，推进国有企业改革有利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①优化国有经济布局，增强国有经济的主导作用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②发挥各种所有制经济的长处，确保实现经济高速增长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③提高国有资本效率，增强国有经济的控制力、影响力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④完善基本经济制度，提高国有资产质量，实现同步富裕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2023年9月14日，中央企业产业链融通发展共链行动正式启动，国资央企将加强与各类所有制企业在新领域新赛道上的合作，大力发展新一代移动通信、人工智能、新材料等科技含量高、带动作用大的战略性新兴产业，积极培育孵化未来产业，加快形成新质生产力。中央企业产业链融通发展共链行动(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①旨在调动民营经济积极性创造性，支持引导非公有制经济发展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②发挥各种所有制的长处提升我国产业链供应链的韧性和竞争力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③能够巩固国资央企的主体地位，更好发挥其对经济的主导作用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④有利于发挥中央企业在建设现代化产业体系中的引领带动作用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中国三峡集团下属长江生态环保集团与苏州市吴江水务集团共同发起设立苏州吴江三峡水管家有限责任公司。公司成立后，拟收购吴江水务集团持有存量水务资产并进行整合，搭建了吴江区域唯一水务平台，实现了全域一体化“水管家”运营模式。此举旨在（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①推动国有资本进一步向重要行业和关键领域集中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②拓宽国有资本投资领域，发挥国有企业主导作用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③优化国有经济布局，增强国有企业行业垄断优势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④通过央地国有企业重组，提高国有企业核心竞争力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2023年前三季度全国规模以上工业增加值同比增长4.0%，其中，装备制造业增加值增长6.0%。分经济类型看，国有控股企业增加值同比增长4.6%；股份制企业增长4.8%。外商及港澳台商投资企业增长0.5%；私营企业增长2.3%。据此，可推断出（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①装备制造业迅速发展，已经成为我们党执政兴国的重要支柱</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②国有控股企业增加值的同比增长有利于增强国有经济的控制力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③股份制企业发展良好，证实股份制可有效提高公司运行效率</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④多种所有制经济共同发展，激发了社会主义市场经济的活力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近年来，某地利用区位优势，成立各类药材专业合作社，整合2万多亩土地大力发展竹节人参、川牛膝、贝母等中药材。此外，各类药材专业合作社还通过致富带头人创办的方式，在培育和发展壮大农民专业合作社的同时，积极引导村民以土地、劳务、技术等方式人股，让村民在家门口就业增收。上述举措（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①发展壮大了农村集体经济，有助于推动共同富裕的实现</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②深化了农村集体产权制度改革，保障了农民的财产权益</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③健全了农业社会化服务体系，有助于满足农业生产需要</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④有助于激发农村要素活力，调动农民种植药材的积极性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酒泉市瓜州县通过盘活土地资源、争取项目扶持资金、实施资产收益项目、发展特色产业等途径，为村集体经济增加可持续性增长点。村企合作发展“大棚经济”、土地流转实施“租金经济”、盘活固定资产大兴“物业经济”……这一个个农村经济发展新探索，让全县村集体收入实现了“跨越式”增长。该县农村的发展得益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①发挥农村基本经营制度优势，积极打造联农带农机制</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②健全农业社会化服务体系，适应了农业发展的新趋势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③推动土地所有权有序流转，实现了农业经营方式变革</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④运用农村集体产权制度改革成果，盘活农村土地资源</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在今年的政府工作报告中，国务院总理李强提出，“全面落实促进民营经济发展壮大的意见及配套举措，进一步解决市场准入、要素获取、公平执法、权益保护等方面存在的突出问题。提高民营企业贷款占比、扩大发债融资规模，加强对个体工商户分类帮扶支持。”这说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①我国依法保护民营企业产权和企业家权益</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②国家毫不动摇地引导、巩固和发展非公制经济</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③国家营造支持非公经济高质量发展的市场环境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④民营经济是中国特色社会主义的重要物质基础</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“民营经济活则全局活，民营经济兴则全局兴。”各地多措并举优化营商环境，鼓励改革创新，将政策“含金量”转化为民营经济高质量发展的动力。这说明（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①非公有制经济是推动经济社会发展的重要力量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②民营经济的发展关系国民经济的命脉和整体质量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③要毫不动摇鼓励、支持、引导非公有制经济发展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④多种经济主体相辅相成共同推动经济高质量发展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为落实最高人民检察院部署“检察护企”专项行动，某县检察院成立“检察护企”专业团队，通过深入企业、车间“面对面”交谈，摸清企业需求、企业发展瓶颈和涉法难题。常态化开展法治宣传，对于发现的破坏公平竞争、涉企生效裁判案件“执行难”等问题线索，该院通过落实“检察+相关部门”联动机制，做到事事有回应、件件有着落。在此专项行动中，检察机关发挥的作用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①把好“方向盘”，引领企业依法合规有序发展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②用好“组合拳”，为企业营造良好的营商环境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③当好“裁判员”，通过审判服务助企提质增效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④装好“电子眼”，对企业的经营进行科学管理</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2024年2月，司法部、国家发改委、全国人大常委会法工委共同组织召开关于《中华人民共和国民营经济促进法》立法座谈会：该法坚持“地位平等、共同发展、公平竞争、互惠合作、平等监管与平等保护”等基本原则促进民营经济发展。该法的制定（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为民营经济高质量发展提供坚实的政治保障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表明各种所有制经济在国民经济中地位平等</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旨在规范民营企业在制度的范围内生产经营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有利于优化营商环境，用法治护航民营经济</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2023年5月10日是第七个中国品牌日。本次品牌日的活动主题是“中国品牌，世界共享；品牌新力量，品质新生活”。活动采用了线上线下相结合的模式，集中宣传展示了我国品牌发展新成果、新形象、新理念，塑造了“品质中国”良好形象。开展中国品牌日活动，有利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①促使企业适应市场，调整经营战略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②降低企业生产成本，形成竞争优势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③提振市场信心，激发企业创新活力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④形成消费和投资相互促进的良性循环</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2024年4月30日，证监会新修订的《科创属性评价指引(试行)》对申请创业板上市企业应满足的基本条件作出了调整：将“最近三年研发投入金额”由“累计在6000万元以上”调整为“累计在8000万元以上”;将“应用于公司主营业务的发明专利5项以上”调整为“应用于公司主营业务并能够产业化的发明专利7项以上”……此举（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①旨在引导科创企业更加重视科研投入和科研成果产业化</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②扩大了科创企业主营业务范围，提高了企业的市场占有率</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③增加了科创企业研发投入成本，提高了企业的市场准入门槛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④有利于引导提高申报企业质量，增强企业的科技创新能力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tbl>
      <w:tblPr>
        <w:tblStyle w:val="8"/>
        <w:tblpPr w:leftFromText="180" w:rightFromText="180" w:vertAnchor="text" w:horzAnchor="page" w:tblpX="1145" w:tblpY="2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758"/>
        <w:gridCol w:w="758"/>
        <w:gridCol w:w="758"/>
        <w:gridCol w:w="758"/>
        <w:gridCol w:w="758"/>
        <w:gridCol w:w="758"/>
        <w:gridCol w:w="758"/>
        <w:gridCol w:w="758"/>
        <w:gridCol w:w="758"/>
        <w:gridCol w:w="758"/>
        <w:gridCol w:w="75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二、材料分析题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w:t>
      </w:r>
      <w:r>
        <w:rPr>
          <w:rFonts w:hint="eastAsia" w:ascii="楷体" w:hAnsi="楷体" w:eastAsia="楷体" w:cs="楷体"/>
          <w:sz w:val="21"/>
          <w:szCs w:val="21"/>
        </w:rPr>
        <w:t>巩固国企改革三年行动成果，乘势而上推进国企改革深化提升。国家能源集团坚持全面深化改革，以敢闯敢试的勇气推动重点领域和关键环节改革，交出了一份厚重提气的改革“答卷”。制定集团公司和重要子企业党委前置研究讨论重大经营管理事项清单，厘清治理主体的权责边界，发挥党组织的领导作用、董事会的决策作用、经理层的经营管理作用。集中资源做强主业，高质量完成“非主业、非优势”剥离任务，整合科技研发资源，集中力量突破“卡脖子”关键技术，加快布局新能源和战略性新兴产业，实现资产总额、利润总额等主要经营指标同比增长。确定多家民营企业作为战略投资者，改出了国有资本、非公有资本融合发展新优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结合材料，运用经济与社会知识，谈谈国家能源集团的做法对壮大国有经济的启示。</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宋体" w:hAnsi="宋体" w:cs="宋体"/>
          <w:sz w:val="21"/>
          <w:szCs w:val="21"/>
          <w:u w:val="dotted"/>
          <w:lang w:val="en-US" w:eastAsia="zh-CN"/>
        </w:rPr>
        <w:t xml:space="preserve">                                                                                             </w:t>
      </w: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楷体" w:hAnsi="楷体" w:eastAsia="楷体" w:cs="楷体"/>
          <w:sz w:val="21"/>
          <w:szCs w:val="21"/>
        </w:rPr>
        <w:t>2023年中央经济工作会议提出，以科技创新推动产业创新，特别是以颠覆性技术和前沿技术催生新产业、新模式、新动能，发展新质生产力。新质生产力，核心在创新。民营企业贡献了70%以上的技术创新成果，是加快发展新质生产力的重要组成部分，在加快发展新质生产力上可以大有作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为鼓励民营企业科技创新，我国不断通过制度创新和体制机制创新，破除民营企业市场准入门槛，激发民营企业参与重大科技创新项目的积极性；加强反垄断和反不正当竞争执法，依法平等对待民营企业等各类市场主体，严格保护民营经济市场主体经营权、财产权等合法权益；加大减税降费力度，减轻民营企业经营负担，加大企业融资支持力度，保障企业良性运转；搭建产学研合作平台，对民营企业的科技创新给予人力、财力、物力等多方面的支持。</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结合材料，运用“毫不动摇鼓励、支持、引导非公有制经济发展”的相关知识，说明我国是如何使民营企业在加快发展新质生产力上大有作为的。</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cs="宋体"/>
          <w:sz w:val="21"/>
          <w:szCs w:val="21"/>
          <w:u w:val="dotted"/>
          <w:lang w:val="en-US" w:eastAsia="zh-CN"/>
        </w:rPr>
        <w:t xml:space="preserve">                                                                                             </w:t>
      </w:r>
    </w:p>
    <w:p>
      <w:pPr>
        <w:pStyle w:val="2"/>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eastAsia="宋体"/>
          <w:lang w:val="en-US" w:eastAsia="zh-CN"/>
        </w:rPr>
      </w:pPr>
      <w:bookmarkStart w:id="0" w:name="_GoBack"/>
      <w:bookmarkEnd w:id="0"/>
    </w:p>
    <w:sectPr>
      <w:footerReference r:id="rId3" w:type="default"/>
      <w:footerReference r:id="rId4" w:type="even"/>
      <w:pgSz w:w="11907" w:h="16839"/>
      <w:pgMar w:top="1134" w:right="1134" w:bottom="1134" w:left="1134" w:header="851" w:footer="425"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MDQxYTdkNjJhMzY1YmQ5ZjA2NzI4Nzg3NGE3ZDgifQ=="/>
    <w:docVar w:name="KSO_WPS_MARK_KEY" w:val="8c6dbfb8-d588-4cad-88de-20dd8f966965"/>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31428CE"/>
    <w:rsid w:val="0B7351FE"/>
    <w:rsid w:val="0F776872"/>
    <w:rsid w:val="1C744C21"/>
    <w:rsid w:val="1F180904"/>
    <w:rsid w:val="30F85AFE"/>
    <w:rsid w:val="384C1230"/>
    <w:rsid w:val="57E04705"/>
    <w:rsid w:val="63D86D39"/>
    <w:rsid w:val="67C65A33"/>
    <w:rsid w:val="699D5FD4"/>
    <w:rsid w:val="7C5B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Plain Text"/>
    <w:basedOn w:val="1"/>
    <w:qFormat/>
    <w:uiPriority w:val="99"/>
    <w:rPr>
      <w:rFonts w:ascii="宋体" w:hAnsi="Courier New" w:cs="Courier New"/>
      <w:szCs w:val="21"/>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28373</Words>
  <Characters>29822</Characters>
  <Lines>0</Lines>
  <Paragraphs>0</Paragraphs>
  <TotalTime>10</TotalTime>
  <ScaleCrop>false</ScaleCrop>
  <LinksUpToDate>false</LinksUpToDate>
  <CharactersWithSpaces>56395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解晓玲</dc:creator>
  <cp:lastModifiedBy>庆阳</cp:lastModifiedBy>
  <dcterms:modified xsi:type="dcterms:W3CDTF">2024-11-12T10:50:19Z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429b9a029fc44ca19e4d53ae218d3cfemzy5mzkzmtm0ma</vt:lpwstr>
  </property>
  <property fmtid="{D5CDD505-2E9C-101B-9397-08002B2CF9AE}" pid="4" name="KSOProductBuildVer">
    <vt:lpwstr>2052-11.1.0.12165</vt:lpwstr>
  </property>
  <property fmtid="{D5CDD505-2E9C-101B-9397-08002B2CF9AE}" pid="5" name="ICV">
    <vt:lpwstr>4ED2AA73230242C98242ABFD6E184F05</vt:lpwstr>
  </property>
</Properties>
</file>