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ind w:firstLine="432"/>
        <w:jc w:val="center"/>
      </w:pPr>
      <w:r>
        <w:rPr>
          <w:b/>
          <w:sz w:val="4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11976100</wp:posOffset>
            </wp:positionV>
            <wp:extent cx="381000" cy="3937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《谏太宗十思疏》 教学设计</w:t>
      </w:r>
    </w:p>
    <w:p>
      <w:r>
        <w:rPr>
          <w:b/>
          <w:sz w:val="28"/>
        </w:rPr>
        <w:t>教学目标：</w:t>
      </w:r>
    </w:p>
    <w:p>
      <w:pPr>
        <w:ind w:firstLine="432"/>
      </w:pPr>
      <w:r>
        <w:t>1. 循序渐进地引导学生理解本文的论证逻辑，首先从生动的比喻出发，深入浅出地阐释道理，随后借助事实进行详尽的拓展论述，最终水到渠成地揭示文章的核心主旨。</w:t>
      </w:r>
    </w:p>
    <w:p>
      <w:pPr>
        <w:ind w:firstLine="432"/>
      </w:pPr>
      <w:r>
        <w:t>2. 深入探讨本文所运用的对比论证与比喻论证手法，学习如何巧妙运用这些方法，使论证更具说服力与感染力，为读者留下深刻印象。</w:t>
      </w:r>
    </w:p>
    <w:p>
      <w:pPr>
        <w:ind w:firstLine="432"/>
      </w:pPr>
      <w:r>
        <w:t>3. 精确掌握文章中的实词与虚词运用，深入挖掘其独特的语言现象与句式特点，为提升个人的写作技能奠定坚实的基础，使文字更加优美流畅。</w:t>
      </w:r>
    </w:p>
    <w:p>
      <w:pPr>
        <w:ind w:firstLine="432"/>
      </w:pPr>
      <w:r>
        <w:t>4. 深刻认识“居安思危，戒奢以俭”这一古训在当时社会的重要地位，并探讨其在现代社会中的独特价值与深远意义，从中汲取智慧与启示，为我们的人生导航。</w:t>
      </w:r>
    </w:p>
    <w:p>
      <w:r>
        <w:rPr>
          <w:b/>
          <w:sz w:val="28"/>
        </w:rPr>
        <w:t>教学重点：</w:t>
      </w:r>
    </w:p>
    <w:p>
      <w:pPr>
        <w:ind w:firstLine="432"/>
      </w:pPr>
      <w:r>
        <w:t>1. 请带着满心的深情诵读这篇文章，让每一个字句都在您心中荡漾。仔细品味，深刻领悟其中的意义，再用心背诵全文，让文字间的韵律与内涵在您心中回响。</w:t>
      </w:r>
    </w:p>
    <w:p>
      <w:pPr>
        <w:ind w:firstLine="432"/>
      </w:pPr>
      <w:r>
        <w:t>2. 深入探索作者的论证思路，一步步理清其逻辑脉络，感受其严谨的思维过程。同时，欣赏作者独特的理论构建和框架，领略其独特的智慧和见识。</w:t>
      </w:r>
    </w:p>
    <w:p>
      <w:r>
        <w:rPr>
          <w:b/>
          <w:sz w:val="28"/>
        </w:rPr>
        <w:t>教学难点：</w:t>
      </w:r>
    </w:p>
    <w:p>
      <w:pPr>
        <w:ind w:firstLine="432"/>
      </w:pPr>
      <w:r>
        <w:t>1. 熟练掌握字词及文言现象的运用技巧，以提升表达之精准与流畅。</w:t>
      </w:r>
    </w:p>
    <w:p>
      <w:pPr>
        <w:ind w:firstLine="432"/>
      </w:pPr>
      <w:r>
        <w:t>2. 深入探讨“十思”之深邃内涵，并诠释其在现代生活中的实际应用价值。</w:t>
      </w:r>
    </w:p>
    <w:p>
      <w:pPr>
        <w:ind w:firstLine="432"/>
      </w:pPr>
      <w:r>
        <w:t>课程安排：共设三课时，全面覆盖上述内容。</w:t>
      </w:r>
    </w:p>
    <w:p>
      <w:r>
        <w:rPr>
          <w:b/>
          <w:sz w:val="28"/>
        </w:rPr>
        <w:t>教学过程：</w:t>
      </w:r>
    </w:p>
    <w:p>
      <w:r>
        <w:rPr>
          <w:b/>
          <w:sz w:val="28"/>
        </w:rPr>
        <w:t>第一课时</w:t>
      </w:r>
    </w:p>
    <w:p>
      <w:pPr>
        <w:ind w:firstLine="432"/>
      </w:pPr>
      <w:r>
        <w:rPr>
          <w:rFonts w:eastAsia="宋体" w:hint="eastAsia"/>
          <w:lang w:val="en-US" w:eastAsia="zh-CN"/>
        </w:rPr>
        <w:t>一、</w:t>
      </w:r>
      <w:r>
        <w:t>导语：</w:t>
      </w:r>
    </w:p>
    <w:p>
      <w:pPr>
        <w:ind w:firstLine="432"/>
      </w:pPr>
      <w:r>
        <w:t>在历史的辽阔长河中，讽谏帝王犹如蹈火探汤，需要极大的智慧和勇气。古代有比干挖心、屈原放逐，他们的悲壮故事被传颂千古。然而，在辉煌的唐代，却有一位名震天下的谏官，他以胆识和直言不讳著称，被誉为“诤臣”。他，便是名垂青史的大臣——魏征。</w:t>
      </w:r>
    </w:p>
    <w:p>
      <w:pPr>
        <w:ind w:firstLine="432"/>
      </w:pPr>
      <w:r>
        <w:t>在魏征所生活的“贞观之治”时期，国家繁荣昌盛，百姓安居乐业。然而，魏征却独具慧眼，提出了居安思危的见解，彰显了他的战略眼光和深谋远虑。当他离世后，唐太宗亲自撰写碑文，惋惜地对侍臣说：“人以铜为镜，可以正衣冠；以古为镜，可知兴替；以人为镜，可明得失。魏征逝去，我失去了一面镜子。”</w:t>
      </w:r>
    </w:p>
    <w:p>
      <w:pPr>
        <w:ind w:firstLine="432"/>
      </w:pPr>
      <w:r>
        <w:t>现在，让我们一同走进魏征的内心世界，通过深入学习他的《谏太宗十思疏》，感受他的智慧与勇气，以及他对国家和人民的深切关怀。在文字间探寻他的思想脉络，感受他的坚定信念和赤诚之心，让我们从中汲取智慧与力量。</w:t>
      </w:r>
    </w:p>
    <w:p>
      <w:pPr>
        <w:ind w:firstLine="432"/>
      </w:pPr>
      <w:r>
        <w:t>二、深度解析</w:t>
      </w:r>
    </w:p>
    <w:p>
      <w:pPr>
        <w:ind w:firstLine="432"/>
      </w:pPr>
      <w:r>
        <w:t>本段节选出自《旧唐书·魏征传》，这段文字中，“谏”字凸显了臣子对君主的赤诚之心与责任感，它代表了下级对上级的真挚劝谏，突显了魏征这位伟大臣子的高尚品质；“疏”字则体现了封建时代臣子向国君呈献建议的正式文体，是臣子表达治国理念、为君主排忧解难的重要途径。这两者在文中交织，生动地勾勒出了魏征这位伟大臣子的形象，展现了他对国家的忠诚与智慧。</w:t>
      </w:r>
    </w:p>
    <w:p>
      <w:pPr>
        <w:ind w:firstLine="432"/>
      </w:pPr>
      <w:r>
        <w:t>三、精读课文。</w:t>
      </w:r>
    </w:p>
    <w:p>
      <w:pPr>
        <w:ind w:firstLine="432"/>
      </w:pPr>
      <w:r>
        <w:t>1. 请各位学子放声朗诵这篇佳作，伴随着声韵的流转，请适当调整发音，使其更为圆润自然。若有陌生字词阻挡，不妨在朗读的同时查阅注解，或是翻阅古汉语字典，确保每一个字音都准确无误。</w:t>
      </w:r>
    </w:p>
    <w:p>
      <w:pPr>
        <w:ind w:firstLine="432"/>
      </w:pPr>
      <w:r>
        <w:t>2. 随后，我将逐一邀请同学们前来朗读，让我们共同欣赏每一位同学的声音之美，感受这篇佳作的独特魅力。</w:t>
      </w:r>
    </w:p>
    <w:p>
      <w:pPr>
        <w:ind w:firstLine="432"/>
      </w:pPr>
      <w:r>
        <w:t>四、用心打磨每一个字词，让文本流畅如水，自然而生。</w:t>
      </w:r>
    </w:p>
    <w:p>
      <w:pPr>
        <w:ind w:firstLine="432"/>
      </w:pPr>
      <w:r>
        <w:t>1. 请细心阅读本文，结合课文下的注释以及各类工具书，深入领会并精确掌握下列词汇的内涵：</w:t>
      </w:r>
    </w:p>
    <w:p>
      <w:pPr>
        <w:ind w:firstLine="432"/>
      </w:pPr>
      <w:r>
        <w:t>① "固"字背后蕴藏的深意是培土以加强稳固，"根本"则是指树木生长之源——树根；</w:t>
      </w:r>
    </w:p>
    <w:p>
      <w:pPr>
        <w:ind w:firstLine="432"/>
      </w:pPr>
      <w:r>
        <w:t>② "德义"二字，涵盖了德政与信义的双重意义；</w:t>
      </w:r>
    </w:p>
    <w:p>
      <w:pPr>
        <w:ind w:firstLine="432"/>
      </w:pPr>
      <w:r>
        <w:t>③ "明哲"这一词汇，是对那些拥有卓越智慧和洞察力的圣人的赞美；</w:t>
      </w:r>
    </w:p>
    <w:p>
      <w:pPr>
        <w:ind w:firstLine="432"/>
      </w:pPr>
      <w:r>
        <w:t>④ "不胜"含蓄地传达了不堪承受的情感；</w:t>
      </w:r>
    </w:p>
    <w:p>
      <w:pPr>
        <w:ind w:firstLine="432"/>
      </w:pPr>
      <w:r>
        <w:t>⑤ "景命"如同大命一般，寓意着肩负着重要的使命；</w:t>
      </w:r>
    </w:p>
    <w:p>
      <w:pPr>
        <w:ind w:firstLine="432"/>
      </w:pPr>
      <w:r>
        <w:t>⑥ "殷忧"则是深深忧虑的写照；</w:t>
      </w:r>
    </w:p>
    <w:p>
      <w:pPr>
        <w:ind w:firstLine="432"/>
      </w:pPr>
      <w:r>
        <w:t>⑦ "行路"借指路人，给人以指引；</w:t>
      </w:r>
    </w:p>
    <w:p>
      <w:pPr>
        <w:ind w:firstLine="432"/>
      </w:pPr>
      <w:r>
        <w:t>⑧ "董"字在此，恰如其分地表达了督责的意味；</w:t>
      </w:r>
    </w:p>
    <w:p>
      <w:pPr>
        <w:ind w:firstLine="432"/>
      </w:pPr>
      <w:r>
        <w:t>⑨ "苟免"揭示了勉强逃避罪责的心态；</w:t>
      </w:r>
    </w:p>
    <w:p>
      <w:pPr>
        <w:ind w:firstLine="432"/>
      </w:pPr>
      <w:r>
        <w:t>⑩ "宜"字简洁明了，表达了应当的含义；</w:t>
      </w:r>
    </w:p>
    <w:p>
      <w:pPr>
        <w:ind w:firstLine="432"/>
      </w:pPr>
      <w:r>
        <w:t>⑾ "高危"描述了身居高位所带来的潜在风险，而"谦冲"则传达了谦虚的态度，"自牧"意味着自我调养与约束，这些都是人生的智慧；</w:t>
      </w:r>
    </w:p>
    <w:p>
      <w:pPr>
        <w:ind w:firstLine="432"/>
      </w:pPr>
      <w:r>
        <w:t>⑿ "简能"二字，突显了选拔有才能之人的重要性；</w:t>
      </w:r>
    </w:p>
    <w:p>
      <w:pPr>
        <w:ind w:firstLine="432"/>
      </w:pPr>
      <w:r>
        <w:t>⒀ "垂拱"以形象的画面，描绘了垂衣拱手、无为而治的理想状态。</w:t>
      </w:r>
    </w:p>
    <w:p>
      <w:pPr>
        <w:ind w:firstLine="432"/>
      </w:pPr>
      <w:r>
        <w:t>2. 在初步理解全文的基础上，力求准确把握每一句话的意义，从而深入理解文章的核心思想。</w:t>
      </w:r>
    </w:p>
    <w:p>
      <w:pPr>
        <w:ind w:firstLine="432"/>
      </w:pPr>
      <w:r>
        <w:t>3. 若在阅读过程中遇到任何疑问，欢迎随时向教师提问。我们将耐心为您解答，帮助您更好地理解和掌握知识。</w:t>
      </w:r>
    </w:p>
    <w:p>
      <w:pPr>
        <w:ind w:firstLine="432"/>
      </w:pPr>
      <w:r>
        <w:t>五、精致设计作业</w:t>
      </w:r>
    </w:p>
    <w:p>
      <w:pPr>
        <w:ind w:firstLine="432"/>
      </w:pPr>
      <w:r>
        <w:t>课后，我诚邀大家认真投入到练习二至五中，以巩固和深化所学内容。我期待你们展现出的卓越表现，让我们一同见证知识的力量。</w:t>
      </w:r>
    </w:p>
    <w:p>
      <w:r>
        <w:rPr>
          <w:b/>
          <w:sz w:val="28"/>
        </w:rPr>
        <w:t>第二课时</w:t>
      </w:r>
    </w:p>
    <w:p>
      <w:pPr>
        <w:ind w:firstLine="432"/>
      </w:pPr>
      <w:r>
        <w:t>一、细致审阅作业</w:t>
      </w:r>
    </w:p>
    <w:p>
      <w:pPr>
        <w:ind w:firstLine="432"/>
      </w:pPr>
      <w:r>
        <w:t>1. 订正练习二至五，务必保证每一道题目都准确无误。</w:t>
      </w:r>
    </w:p>
    <w:p>
      <w:pPr>
        <w:ind w:firstLine="432"/>
      </w:pPr>
      <w:r>
        <w:t>2. 精选复杂难懂的句子，引导学生迎难而上，进行翻译练习，以加深对语言的理解和运用。</w:t>
      </w:r>
    </w:p>
    <w:p>
      <w:pPr>
        <w:ind w:firstLine="432"/>
      </w:pPr>
      <w:r>
        <w:t>二、深度解读课文内涵</w:t>
      </w:r>
    </w:p>
    <w:p>
      <w:pPr>
        <w:ind w:firstLine="432"/>
      </w:pPr>
      <w:r>
        <w:t>1. 首段解读：</w:t>
      </w:r>
    </w:p>
    <w:p>
      <w:pPr>
        <w:ind w:firstLine="432"/>
      </w:pPr>
      <w:r>
        <w:t>首先，邀请一位学生为我们概述本段的核心思想。随后，教师将在此基础上进行进一步的拓展与深化。</w:t>
      </w:r>
    </w:p>
    <w:p>
      <w:pPr>
        <w:ind w:firstLine="432"/>
      </w:pPr>
      <w:r>
        <w:t>此段开篇便旗帜鲜明地提出了中心论点：身为人君，必须时刻警惕，即便在安稳之时也要思考潜在的危险，戒除奢侈，崇尚节俭。作者运用两个生动的比喻——“欲树木高大，需稳固其根部；要使河流长远，需疏浚其源头”——来论证，只有不断积累德义，国家才能长治久安。同时，作者还通过排比句，从反面揭示了忽视“居安思危”可能带来的严重后果。</w:t>
      </w:r>
    </w:p>
    <w:p>
      <w:pPr>
        <w:ind w:firstLine="432"/>
      </w:pPr>
      <w:r>
        <w:t>“人君当神器之重，居域中之大”，这句话彰显了人君的崇高地位与重大责任。要肩负起治国的重任，人君必须铭记“居安思危，戒奢以俭”的原则。这是历代统治者从创业到守成过程中积累的宝贵经验。在贞观十一年，当唐太宗执政的鼎盛时期，魏征提出这一观点，充分展示了他卓越的政治远见。</w:t>
      </w:r>
    </w:p>
    <w:p>
      <w:pPr>
        <w:ind w:firstLine="432"/>
      </w:pPr>
      <w:r>
        <w:t>2. 次段解读：</w:t>
      </w:r>
    </w:p>
    <w:p>
      <w:pPr>
        <w:ind w:firstLine="432"/>
      </w:pPr>
      <w:r>
        <w:t>本段总结了历史经验，从创业守成、人心向背等角度深入剖析了“居安思危”的重要性。</w:t>
      </w:r>
    </w:p>
    <w:p>
      <w:pPr>
        <w:ind w:firstLine="432"/>
      </w:pPr>
      <w:r>
        <w:t>“善始者实繁，克终者盖寡”，这句话揭示了历代创业的君主难以守住成果的普遍现象。创业之难，人们尚可理解，而守成之难，即使是贤明的君主也常常忽视。魏征敏锐地指出了“取之易而守之难乎”的问题，并深入分析了创业与守成难易的道理。文章从难易的角度入手，告诫守成之君，切莫骄傲自满、傲慢待人，以免失去民心。“怨不在大，可畏惟人；载舟覆舟，所宜深慎”，作者引经据典，苦口婆心地告诫统治者，君与民的关系如同水与舟，稍有不慎，便可能覆舟。这种深入人心的比喻，令人警醒。</w:t>
      </w:r>
    </w:p>
    <w:p>
      <w:pPr>
        <w:ind w:firstLine="432"/>
      </w:pPr>
      <w:r>
        <w:t>第三段详尽地解析了“居安思危”的智慧实践，被称作“十思”。这“十思”的精华可概括为“五戒”。</w:t>
      </w:r>
    </w:p>
    <w:p>
      <w:pPr>
        <w:ind w:firstLine="432"/>
      </w:pPr>
      <w:r>
        <w:t>首先，“见可欲”和“将有作”提醒我们，面对诱人的事物，要坚守知足的底线，适可而止。在建设的过程中，更要牢记节制，避免陷入奢侈的漩涡，确保稳健发展。</w:t>
      </w:r>
    </w:p>
    <w:p>
      <w:pPr>
        <w:ind w:firstLine="432"/>
      </w:pPr>
      <w:r>
        <w:t>其次，“念高危”和“惧满溢”这两条则是警示我们，当身居高位时，应始终怀有一颗谦虚谨慎的心，努力修炼品德。对于可能滋生的骄傲自满情绪，我们应像大海一样，拥有宽广的胸怀，容纳百川，永不自满。</w:t>
      </w:r>
    </w:p>
    <w:p>
      <w:pPr>
        <w:ind w:firstLine="432"/>
      </w:pPr>
      <w:r>
        <w:t>再次，“乐盘游”和“忧懈怠”告诫我们，在享受游玩时，应把握适度，避免过度放纵。同时，我们还需时刻保持警惕，坚持善始善终，坚决克服懈怠心理，全力以赴追求目标。</w:t>
      </w:r>
    </w:p>
    <w:p>
      <w:pPr>
        <w:ind w:firstLine="432"/>
      </w:pPr>
      <w:r>
        <w:t>此外，“虑壅蔽”和“惧谗邪”这两条则警告我们，要保持开放的心态，虚心听取下属的意见，对自己严格要求，警惕那些心怀叵测的小人，以免被蒙蔽和误导。</w:t>
      </w:r>
    </w:p>
    <w:p>
      <w:pPr>
        <w:ind w:firstLine="432"/>
      </w:pPr>
      <w:r>
        <w:t>最后，“思所加”和“罚所及”是告诫我们，在赏罚时要公正无私，不能因为个人的情绪变化而滥施奖赏或滥用刑罚，确保公平和正义。</w:t>
      </w:r>
    </w:p>
    <w:p>
      <w:pPr>
        <w:ind w:firstLine="432"/>
      </w:pPr>
      <w:r>
        <w:t>综上所述，通过实践这“十思”，发扬“九德”，善于选拔人才，文武并用，君王就能够实现垂拱而治，无需再劳心劳力，自然能够国泰民安。</w:t>
      </w:r>
    </w:p>
    <w:p>
      <w:pPr>
        <w:ind w:firstLine="432"/>
      </w:pPr>
      <w:r>
        <w:t>三、作业安排</w:t>
      </w:r>
    </w:p>
    <w:p>
      <w:pPr>
        <w:ind w:firstLine="432"/>
      </w:pPr>
      <w:r>
        <w:t>1. 请你以深情之心，将全文细致入微地背诵，感受其中每个词语所散发的独特魅力与内在力量。</w:t>
      </w:r>
    </w:p>
    <w:p>
      <w:pPr>
        <w:ind w:firstLine="432"/>
      </w:pPr>
      <w:r>
        <w:t>2. 请用细致的观察，品味本文独特的语言风格，领略作者在文字间所展现的匠心独运与无尽美感。</w:t>
      </w:r>
    </w:p>
    <w:p>
      <w:r>
        <w:rPr>
          <w:b/>
          <w:sz w:val="28"/>
        </w:rPr>
        <w:t>第三课时</w:t>
      </w:r>
    </w:p>
    <w:p>
      <w:pPr>
        <w:ind w:firstLine="432"/>
      </w:pPr>
      <w:r>
        <w:t>一、精心检查背诵成果。</w:t>
      </w:r>
    </w:p>
    <w:p>
      <w:pPr>
        <w:ind w:firstLine="432"/>
      </w:pPr>
      <w:r>
        <w:t>二、深化学生对“十思”深远影响与现实意义的探究</w:t>
      </w:r>
    </w:p>
    <w:p>
      <w:pPr>
        <w:ind w:firstLine="432"/>
      </w:pPr>
      <w:r>
        <w:t>唐太宗曾深刻指出：“我每临朝，都再三思量，唯恐对百姓造成危害。”他以前朝隋代的暴政为鉴，明智地节制民力，克制私欲，赏罚分明，广纳谏言。因此，到了贞观中期，国家经济蓬勃发展，民众生活逐渐殷实，社会秩序井然有序。然而，随着形势的转好，唐太宗逐渐放松了警惕，大兴土木，频繁巡游、狩猎。</w:t>
      </w:r>
    </w:p>
    <w:p>
      <w:pPr>
        <w:ind w:firstLine="432"/>
      </w:pPr>
      <w:r>
        <w:t>在这个关键时刻，卓越的政治家魏征独具慧眼，发现了唐太宗“忘本”和“忘危”的根本问题。他针对性地提出了“十思”这一治国理念，为唐太宗指明了前进的方向。这一理念不仅在当时具有深远的意义，而且在今天也依然具有强烈的借鉴意义。</w:t>
      </w:r>
    </w:p>
    <w:p>
      <w:pPr>
        <w:ind w:firstLine="432"/>
      </w:pPr>
      <w:r>
        <w:t>因此，我们要引导学生深入探讨“十思”的深远影响与现实意义，从中汲取智慧与启示，为现代社会治理提供有益的参考。</w:t>
      </w:r>
    </w:p>
    <w:p>
      <w:pPr>
        <w:ind w:firstLine="432"/>
      </w:pPr>
      <w:r>
        <w:t>三、独树一帜的写作风采。</w:t>
      </w:r>
    </w:p>
    <w:p>
      <w:pPr>
        <w:ind w:firstLine="432"/>
      </w:pPr>
      <w:r>
        <w:t>1. 论证策略的精妙运用</w:t>
      </w:r>
    </w:p>
    <w:p>
      <w:pPr>
        <w:ind w:firstLine="432"/>
      </w:pPr>
      <w:r>
        <w:t>(1) 正反相映，深化议题解析</w:t>
      </w:r>
    </w:p>
    <w:p>
      <w:pPr>
        <w:ind w:firstLine="432"/>
      </w:pPr>
      <w:r>
        <w:t>通过剖析同一议题的正面与反面，我们能够构建出更为全面而深入的论述，赋予观点更强的说服力。在本文的开篇，作者先强调了固本疏源的重要性，随后又巧妙地从反面切入，揭示了忽视此点可能带来的严重后果，从而加深了读者对议题的理解与认识。</w:t>
      </w:r>
    </w:p>
    <w:p>
      <w:pPr>
        <w:ind w:firstLine="432"/>
      </w:pPr>
      <w:r>
        <w:t>(2) 妙用比喻，引人入胜</w:t>
      </w:r>
    </w:p>
    <w:p>
      <w:pPr>
        <w:ind w:firstLine="432"/>
      </w:pPr>
      <w:r>
        <w:t>比喻作为一种独特的论证手法，能够通过生动的形象将复杂议题简单化，使论述更具吸引力。在这篇文章的开头三句中，作者巧妙地运用了比喻，通过前两句的铺垫，逐步引出并深入阐述了真正的论点，使读者在欣赏优美文笔的同时，也能深刻理解文章的主旨。</w:t>
      </w:r>
    </w:p>
    <w:p>
      <w:pPr>
        <w:ind w:firstLine="432"/>
      </w:pPr>
      <w:r>
        <w:t>2. 语言艺术的卓越表现</w:t>
      </w:r>
    </w:p>
    <w:p>
      <w:pPr>
        <w:ind w:firstLine="432"/>
      </w:pPr>
      <w:r>
        <w:t>“十思疏”不仅展现了唐代奏疏的典型骈文特色，还充分体现了其独特的语言艺术魅力。在众多采用骈文形式的唐代奏疏中，“十思疏”独树一帜，既保持了骈文传统如排比、对偶的运用，又融入了真挚的情感，使文章既显得华丽又不失真实感。与其他拘泥于形式的骈文相比，“十思疏”在表达上更为自由灵活，既不拘泥于句式，也不过分追求辞藻的堆砌，更不滥用典故，使文章在保持骈文华美与整齐的同时，兼具散文的自然流畅，令人读来朗朗上口，倍感愉悦。</w:t>
      </w:r>
    </w:p>
    <w:p>
      <w:pPr>
        <w:ind w:firstLine="432"/>
      </w:pPr>
      <w:r>
        <w:t>四、教师圆满完成了课程，他/她以细致入微的方式总结了知识点，并针对学生提出的问题给予了耐心细致的解答。</w:t>
      </w:r>
    </w:p>
    <w:p>
      <w:pPr>
        <w:ind w:firstLine="432"/>
      </w:pPr>
      <w:r>
        <w:t>五、学生们以深情的诵读，细致地品味其中的韵味。</w:t>
      </w:r>
    </w:p>
    <w:p>
      <w:r>
        <w:rPr>
          <w:b/>
          <w:sz w:val="28"/>
        </w:rPr>
        <w:t>板书设计</w:t>
      </w:r>
    </w:p>
    <w:p>
      <w:pPr>
        <w:ind w:firstLine="720" w:firstLineChars="0"/>
      </w:pPr>
      <w:r>
        <w:t>谏太宗十思疏</w:t>
      </w:r>
    </w:p>
    <w:p>
      <w:pPr>
        <w:ind w:firstLine="432"/>
      </w:pPr>
      <w:r>
        <w:t>魏征，这位杰出的历史人物，他的智慧与勇气在历史长河中留下了浓墨重彩的一笔。他以直言敢谏和赤诚之心，赢得了唐太宗的深厚信赖，树立了自己在国家政治舞台上的独特地位。他的一生，献给了国家和人民，他的贡献不仅仅局限于政治领域，更在后世产生了深远的影响。</w:t>
      </w:r>
    </w:p>
    <w:p>
      <w:pPr>
        <w:ind w:firstLine="432"/>
      </w:pPr>
      <w:r>
        <w:t>魏征，宛如一颗熠熠生辉的明珠，绽放着智慧的光芒。他的一生都在致力于国家和人民的福祉，他的谏言犹如甘泉般滋润，为唐太宗的政治决策提供了宝贵的启示。他的忠诚与勇气，让他在历史长河中留下了不可磨灭的印记。</w:t>
      </w:r>
    </w:p>
    <w:p>
      <w:pPr>
        <w:ind w:firstLine="432"/>
      </w:pPr>
      <w:r>
        <w:t>魏征的智慧不仅体现在他的政治远见上，更彰显在他的人格魅力之中。他始终保持着清醒的头脑和坚定的信念，毕生追求真理和正义。他的贡献不仅仅体现在政治成就上，更在于他为后世留下的宝贵经验和启示。</w:t>
      </w:r>
    </w:p>
    <w:p>
      <w:pPr>
        <w:ind w:firstLine="432"/>
      </w:pPr>
      <w:r>
        <w:t>魏征，他的名字将永载史册，他的智慧和勇气将继续照耀着后人，激励着他们为国家和人民的福祉不懈奋斗。</w:t>
      </w:r>
      <w:bookmarkStart w:id="0" w:name="_GoBack"/>
      <w:bookmarkEnd w:id="0"/>
      <w:r>
        <w:t>他的故事将代代相传，成为后人学习和借鉴的宝贵财富，永远熠熠生辉。</w:t>
      </w:r>
    </w:p>
    <w:p>
      <w:pPr>
        <w:ind w:firstLine="432"/>
      </w:pPr>
      <w:r>
        <w:t>一、深入解读</w:t>
      </w:r>
    </w:p>
    <w:p>
      <w:pPr>
        <w:ind w:firstLine="432"/>
      </w:pPr>
      <w:r>
        <w:t>(一)心存警惕，不忘潜在的危险；身处安逸，仍思考勤劳的价值。坚守节俭之道，以杜绝奢华之弊，此乃稳健前行的智慧之源。(中心论点)</w:t>
      </w:r>
    </w:p>
    <w:p>
      <w:pPr>
        <w:ind w:firstLine="432"/>
      </w:pPr>
      <w:r>
        <w:t>(二)居安思危：深藏于安稳之下的睿智</w:t>
      </w:r>
    </w:p>
    <w:p>
      <w:pPr>
        <w:ind w:firstLine="432"/>
      </w:pPr>
      <w:r>
        <w:t>于这瞬息万变、充满未知的世界里，人们往往容易沉醉于片刻的宁静与安逸之中。但居安思危这一传统智慧却告诫我们，即使在安稳和宁静的环境中，也应时刻保持警惕，预见到潜在的风险。</w:t>
      </w:r>
    </w:p>
    <w:p>
      <w:pPr>
        <w:ind w:firstLine="432"/>
      </w:pPr>
      <w:r>
        <w:t>居安思危的智慧，赋予我们超越舒适圈的敏锐洞察力。它催促我们不断审视自我，不断反思，从而避免陷入盲目自满和固步自封的陷阱。这份睿智使我们深刻领悟到，安全并非永恒不变，而是需要我们持之以恒地去争取和维护的。</w:t>
      </w:r>
    </w:p>
    <w:p>
      <w:pPr>
        <w:ind w:firstLine="432"/>
      </w:pPr>
      <w:r>
        <w:t>此外，居安思危也是一种对未来的预见与准备。它让我们在享受当下的同时，始终怀揣对未来的挑战与机遇的敬畏之心。这种前瞻性的思维，使我们能够在危机悄然而至之前，提前做好准备，从而化险为夷，把握主动。</w:t>
      </w:r>
    </w:p>
    <w:p>
      <w:pPr>
        <w:ind w:firstLine="432"/>
      </w:pPr>
      <w:r>
        <w:t>总而言之，居安思危这一深邃的智慧，提醒我们在安逸中保持警惕，预见风险，并努力应对。在这变幻莫测的世界中，唯有居安思危，方能确保我们始终保持竞争力，实现可持续的发展。</w:t>
      </w:r>
    </w:p>
    <w:p>
      <w:pPr>
        <w:ind w:firstLine="432"/>
      </w:pPr>
      <w:r>
        <w:t>(三)具体实践——“十思”“五戒”</w:t>
      </w:r>
    </w:p>
    <w:p>
      <w:pPr>
        <w:ind w:firstLine="432"/>
      </w:pPr>
      <w:r>
        <w:t>“十思”所蕴含的深远智慧，不仅与古人的处世哲学紧密相连，更与当今社会的现实需求相得益彰。这一思考框架提醒我们在日常生活和工作中，时刻保持冷静和清醒的头脑，从而在复杂的情境中找到最佳应对策略。它强调了理性思考、审慎决策的重要性，鼓励我们在面对挑战时，不仅要看到问题的表面，更要深入剖析其本质。通过“十思”的实践，我们能够更好地认识自己、理解他人，以及更加和谐地融入社会大家庭。因此，无论是在古代还是现代，“十思”都具有不可估量的价值和意义。</w:t>
      </w:r>
    </w:p>
    <w:p>
      <w:pPr>
        <w:ind w:firstLine="432"/>
      </w:pPr>
      <w:r>
        <w:t>二、别具一格的写作风采</w:t>
      </w:r>
    </w:p>
    <w:p>
      <w:pPr>
        <w:ind w:firstLine="432"/>
      </w:pPr>
      <w:r>
        <w:t>1. 精妙的论述技法：该文章所展现的论述方式可谓独树一帜，逻辑缜密、条理分明，不仅让读者心服口服，更引领着读者深入思考，探寻文字背后的丰富内涵。</w:t>
      </w:r>
    </w:p>
    <w:p>
      <w:pPr>
        <w:ind w:firstLine="432"/>
      </w:pPr>
      <w:r>
        <w:t>2. 独特的语言魅力：作者匠心独运地将骈文与散文完美融合，使得文章既拥有骈文的瑰丽辞藻，又不失散文的流畅自然。这种骈散交织的语言特色，既彰显了作者的卓越文学造诣，又为读者带来了一场视觉与心灵的双重享受。</w:t>
      </w:r>
    </w:p>
    <w:sectPr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6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spacing w:after="0" w:line="240" w:lineRule="auto"/>
      <w:jc w:val="both"/>
      <w:rPr>
        <w:rFonts w:ascii="Times New Roman" w:eastAsia="宋体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51FC"/>
    <w:rsid w:val="00AA1D8D"/>
    <w:rsid w:val="00B47730"/>
    <w:rsid w:val="00C02FC6"/>
    <w:rsid w:val="00CB0664"/>
    <w:rsid w:val="00FC693F"/>
    <w:rsid w:val="6860187A"/>
  </w:rsids>
  <w:docVars>
    <w:docVar w:name="commondata" w:val="eyJoZGlkIjoiNDlhMjNiZjBiNGJmMjdkNTFlMTQ5MTdlNTNlM2FjOWUifQ=="/>
  </w:docVar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 w:semiHidden="0"/>
    <w:lsdException w:name="toa heading"/>
    <w:lsdException w:name="List" w:semiHidden="0" w:qFormat="1"/>
    <w:lsdException w:name="List Bullet" w:semiHidden="0" w:qFormat="1"/>
    <w:lsdException w:name="List Number" w:semiHidden="0"/>
    <w:lsdException w:name="List 2" w:semiHidden="0"/>
    <w:lsdException w:name="List 3" w:semiHidden="0"/>
    <w:lsdException w:name="List 4"/>
    <w:lsdException w:name="List 5"/>
    <w:lsdException w:name="List Bullet 2" w:semiHidden="0"/>
    <w:lsdException w:name="List Bullet 3" w:semiHidden="0" w:qFormat="1"/>
    <w:lsdException w:name="List Bullet 4"/>
    <w:lsdException w:name="List Bullet 5"/>
    <w:lsdException w:name="List Number 2" w:semiHidden="0" w:qFormat="1"/>
    <w:lsdException w:name="List Number 3" w:semiHidden="0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qFormat="1"/>
    <w:lsdException w:name="Body Text Indent"/>
    <w:lsdException w:name="List Continue" w:semiHidden="0"/>
    <w:lsdException w:name="List Continue 2" w:semiHidden="0"/>
    <w:lsdException w:name="List Continue 3" w:semiHidden="0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 w:semiHidden="0"/>
    <w:lsdException w:name="Body Text 3" w:semiHidden="0" w:qFormat="1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Macro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ListNumber2">
    <w:name w:val="List Number 2"/>
    <w:basedOn w:val="Normal"/>
    <w:autoRedefine/>
    <w:uiPriority w:val="99"/>
    <w:unhideWhenUsed/>
    <w:qFormat/>
    <w:pPr>
      <w:numPr>
        <w:ilvl w:val="0"/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ilvl w:val="0"/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ListBullet">
    <w:name w:val="List Bullet"/>
    <w:basedOn w:val="Normal"/>
    <w:uiPriority w:val="99"/>
    <w:unhideWhenUsed/>
    <w:qFormat/>
    <w:pPr>
      <w:numPr>
        <w:ilvl w:val="0"/>
        <w:numId w:val="3"/>
      </w:numPr>
      <w:contextualSpacing/>
    </w:pPr>
  </w:style>
  <w:style w:type="paragraph" w:styleId="BodyText3">
    <w:name w:val="Body Text 3"/>
    <w:basedOn w:val="Normal"/>
    <w:link w:val="BodyText3Char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pPr>
      <w:numPr>
        <w:ilvl w:val="0"/>
        <w:numId w:val="4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ListNumber3">
    <w:name w:val="List Number 3"/>
    <w:basedOn w:val="Normal"/>
    <w:uiPriority w:val="99"/>
    <w:unhideWhenUsed/>
    <w:pPr>
      <w:numPr>
        <w:ilvl w:val="0"/>
        <w:numId w:val="5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Continue">
    <w:name w:val="List Continue"/>
    <w:basedOn w:val="Normal"/>
    <w:autoRedefine/>
    <w:uiPriority w:val="99"/>
    <w:unhideWhenUsed/>
    <w:pPr>
      <w:spacing w:after="120"/>
      <w:ind w:left="360"/>
      <w:contextualSpacing/>
    </w:pPr>
  </w:style>
  <w:style w:type="paragraph" w:styleId="ListBullet2">
    <w:name w:val="List Bullet 2"/>
    <w:basedOn w:val="Normal"/>
    <w:uiPriority w:val="99"/>
    <w:unhideWhenUsed/>
    <w:pPr>
      <w:numPr>
        <w:ilvl w:val="0"/>
        <w:numId w:val="6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autoRedefine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LightShadingAccent1">
    <w:name w:val="Light Shading Accent 1"/>
    <w:basedOn w:val="TableNormal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Accent3">
    <w:name w:val="Light Shading Accent 3"/>
    <w:basedOn w:val="TableNormal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LightShadingAccent6">
    <w:name w:val="Light Shading Accent 6"/>
    <w:basedOn w:val="TableNormal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Accent1">
    <w:name w:val="Light Grid Accent 1"/>
    <w:basedOn w:val="TableNormal"/>
    <w:uiPriority w:val="62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Accent2">
    <w:name w:val="Light Grid Accent 2"/>
    <w:basedOn w:val="TableNormal"/>
    <w:uiPriority w:val="62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Accent3">
    <w:name w:val="Light Grid Accent 3"/>
    <w:basedOn w:val="TableNormal"/>
    <w:uiPriority w:val="62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Accent4">
    <w:name w:val="Light Grid Accent 4"/>
    <w:basedOn w:val="TableNormal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Accent5">
    <w:name w:val="Light Grid Accent 5"/>
    <w:basedOn w:val="TableNormal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Accent6">
    <w:name w:val="Light Grid Accent 6"/>
    <w:basedOn w:val="TableNormal"/>
    <w:uiPriority w:val="62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MediumList1Accent1">
    <w:name w:val="Medium List 1 Accent 1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MediumList1Accent3">
    <w:name w:val="Medium List 1 Accent 3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MediumList1Accent6">
    <w:name w:val="Medium List 1 Accent 6"/>
    <w:basedOn w:val="TableNormal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MediumGrid1Accent1">
    <w:name w:val="Medium Grid 1 Accent 1"/>
    <w:basedOn w:val="TableNormal"/>
    <w:uiPriority w:val="67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MediumGrid1Accent2">
    <w:name w:val="Medium Grid 1 Accent 2"/>
    <w:basedOn w:val="TableNormal"/>
    <w:uiPriority w:val="67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</w:style>
  <w:style w:type="table" w:styleId="MediumGrid3Accent1">
    <w:name w:val="Medium Grid 3 Accent 1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</w:style>
  <w:style w:type="table" w:styleId="MediumGrid3Accent2">
    <w:name w:val="Medium Grid 3 Accent 2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DarkList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DarkList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autoRedefine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ColorfulGridAccent1">
    <w:name w:val="Colorful Grid Accent 1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ColorfulGridAccent2">
    <w:name w:val="Colorful Grid Accent 2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Heading3Char">
    <w:name w:val="Heading 3 Char"/>
    <w:basedOn w:val="DefaultParagraphFont"/>
    <w:link w:val="Heading3"/>
    <w:autoRedefine/>
    <w:uiPriority w:val="9"/>
    <w:rPr>
      <w:rFonts w:asciiTheme="majorHAnsi" w:eastAsiaTheme="majorEastAsia" w:hAnsiTheme="majorHAnsi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character" w:customStyle="1" w:styleId="BodyText2Char">
    <w:name w:val="Body Text 2 Char"/>
    <w:basedOn w:val="DefaultParagraphFont"/>
    <w:link w:val="BodyText2"/>
    <w:autoRedefine/>
    <w:uiPriority w:val="99"/>
  </w:style>
  <w:style w:type="character" w:customStyle="1" w:styleId="BodyText3Char">
    <w:name w:val="Body Text 3 Char"/>
    <w:basedOn w:val="DefaultParagraphFont"/>
    <w:link w:val="BodyText3"/>
    <w:uiPriority w:val="99"/>
    <w:qFormat/>
    <w:rPr>
      <w:sz w:val="16"/>
      <w:szCs w:val="16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Heading5Char">
    <w:name w:val="Heading 5 Char"/>
    <w:basedOn w:val="DefaultParagraphFont"/>
    <w:link w:val="Heading5"/>
    <w:autoRedefine/>
    <w:uiPriority w:val="9"/>
    <w:semiHidden/>
    <w:rPr>
      <w:rFonts w:asciiTheme="majorHAnsi" w:eastAsiaTheme="majorEastAsia" w:hAnsiTheme="majorHAnsi" w:cstheme="majorBidi"/>
      <w:color w:val="25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SubtleEmphasis">
    <w:name w:val="Subtle Emphasis"/>
    <w:basedOn w:val="DefaultParagraphFont"/>
    <w:uiPriority w:val="19"/>
    <w:qFormat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文档存本地丢失不负责</cp:lastModifiedBy>
  <cp:revision>1</cp:revision>
  <dcterms:created xsi:type="dcterms:W3CDTF">2013-12-23T23:15:00Z</dcterms:created>
  <dcterms:modified xsi:type="dcterms:W3CDTF">2024-03-23T06:27:29Z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