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江苏省仪征中学2</w:t>
      </w:r>
      <w:r>
        <w:rPr>
          <w:rFonts w:ascii="黑体" w:hAnsi="宋体" w:eastAsia="黑体" w:cs="MT Extra"/>
          <w:b/>
          <w:sz w:val="28"/>
          <w:szCs w:val="28"/>
        </w:rPr>
        <w:t>02</w:t>
      </w:r>
      <w:r>
        <w:rPr>
          <w:rFonts w:hint="eastAsia" w:ascii="黑体" w:hAnsi="宋体" w:eastAsia="黑体" w:cs="MT Extra"/>
          <w:b/>
          <w:sz w:val="28"/>
          <w:szCs w:val="28"/>
        </w:rPr>
        <w:t>2</w:t>
      </w:r>
      <w:r>
        <w:rPr>
          <w:rFonts w:ascii="黑体" w:hAnsi="宋体" w:eastAsia="黑体" w:cs="MT Extra"/>
          <w:b/>
          <w:sz w:val="28"/>
          <w:szCs w:val="28"/>
        </w:rPr>
        <w:t>-202</w:t>
      </w:r>
      <w:r>
        <w:rPr>
          <w:rFonts w:hint="eastAsia" w:ascii="黑体" w:hAnsi="宋体" w:eastAsia="黑体" w:cs="MT Extra"/>
          <w:b/>
          <w:sz w:val="28"/>
          <w:szCs w:val="28"/>
        </w:rPr>
        <w:t>3学年度第一学期高一语文学科导学案</w:t>
      </w:r>
    </w:p>
    <w:p>
      <w:pPr>
        <w:spacing w:line="36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《登泰山记》第二课时</w:t>
      </w:r>
    </w:p>
    <w:p>
      <w:pPr>
        <w:spacing w:line="390" w:lineRule="exact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研制人：许士云          审核人：卞文惠</w:t>
      </w:r>
      <w:r>
        <w:rPr>
          <w:rFonts w:ascii="楷体" w:hAnsi="楷体" w:eastAsia="楷体" w:cs="楷体"/>
          <w:bCs/>
          <w:sz w:val="24"/>
        </w:rPr>
        <w:t xml:space="preserve"> </w:t>
      </w:r>
    </w:p>
    <w:p>
      <w:pPr>
        <w:snapToGrid w:val="0"/>
        <w:spacing w:line="390" w:lineRule="exact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班级：____________姓名：____________学号：________授课日期：________</w:t>
      </w:r>
    </w:p>
    <w:p>
      <w:pPr>
        <w:spacing w:line="39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课程标准要求：</w:t>
      </w:r>
    </w:p>
    <w:p>
      <w:pPr>
        <w:spacing w:line="39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本单元属于“写景抒情散文作品研习”学习任务群。</w:t>
      </w:r>
    </w:p>
    <w:p>
      <w:pPr>
        <w:spacing w:line="39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学习写景抒情散文，体会民族审美心理，提升文学欣赏品味，培养对自然的热爱之情。要关注作品中的自然景物描写和人生思考，体会作者观察、欣赏和表现自然景物的角度，分析情景交融、情理结合的手法；还要反复涵泳咀嚼，感受作品的文辞之美。</w:t>
      </w:r>
    </w:p>
    <w:p>
      <w:pPr>
        <w:spacing w:line="28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一、素养导航</w:t>
      </w:r>
    </w:p>
    <w:p>
      <w:pPr>
        <w:widowControl/>
        <w:spacing w:before="150" w:after="150" w:line="280" w:lineRule="exact"/>
        <w:jc w:val="left"/>
        <w:rPr>
          <w:rFonts w:ascii="Verdana" w:hAnsi="Verdana" w:cs="宋体"/>
          <w:kern w:val="0"/>
          <w:szCs w:val="21"/>
          <w:lang w:bidi="ne-NP"/>
        </w:rPr>
      </w:pPr>
      <w:r>
        <w:rPr>
          <w:rFonts w:hint="eastAsia" w:ascii="Verdana" w:hAnsi="Verdana" w:cs="宋体"/>
          <w:kern w:val="0"/>
          <w:lang w:bidi="ne-NP"/>
        </w:rPr>
        <w:t>1</w:t>
      </w:r>
      <w:r>
        <w:rPr>
          <w:rFonts w:ascii="Verdana" w:hAnsi="Verdana" w:cs="宋体"/>
          <w:kern w:val="0"/>
          <w:lang w:bidi="ne-NP"/>
        </w:rPr>
        <w:t>．理清本文思路，学习借鉴本文比喻、拟人的手法，烘托、动静结合的写景方法。</w:t>
      </w:r>
    </w:p>
    <w:p>
      <w:pPr>
        <w:widowControl/>
        <w:spacing w:before="150" w:after="150" w:line="280" w:lineRule="exact"/>
        <w:jc w:val="left"/>
        <w:rPr>
          <w:rFonts w:ascii="Verdana" w:hAnsi="Verdana" w:cs="宋体"/>
          <w:kern w:val="0"/>
          <w:szCs w:val="21"/>
          <w:lang w:bidi="ne-NP"/>
        </w:rPr>
      </w:pPr>
      <w:r>
        <w:rPr>
          <w:rFonts w:hint="eastAsia" w:ascii="Verdana" w:hAnsi="Verdana" w:cs="宋体"/>
          <w:kern w:val="0"/>
          <w:lang w:bidi="ne-NP"/>
        </w:rPr>
        <w:t>2.</w:t>
      </w:r>
      <w:r>
        <w:rPr>
          <w:rFonts w:ascii="Verdana" w:hAnsi="Verdana" w:cs="宋体"/>
          <w:kern w:val="0"/>
          <w:lang w:bidi="ne-NP"/>
        </w:rPr>
        <w:t>感悟作者热爱和赞美祖国山河的强烈感情，培养鉴赏能力和审美能力。</w:t>
      </w:r>
    </w:p>
    <w:p>
      <w:pPr>
        <w:spacing w:line="28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二、内容导读</w:t>
      </w:r>
    </w:p>
    <w:p>
      <w:pPr>
        <w:pStyle w:val="6"/>
        <w:ind w:firstLine="420" w:firstLineChars="200"/>
        <w:rPr>
          <w:rFonts w:cs="宋体"/>
        </w:rPr>
      </w:pPr>
      <w:r>
        <w:rPr>
          <w:rFonts w:hint="eastAsia" w:cs="宋体"/>
        </w:rPr>
        <w:t>(一)资料链接</w:t>
      </w:r>
    </w:p>
    <w:p>
      <w:pPr>
        <w:pStyle w:val="6"/>
        <w:spacing w:line="360" w:lineRule="exact"/>
        <w:ind w:firstLine="310" w:firstLineChars="147"/>
      </w:pPr>
      <w:r>
        <w:rPr>
          <w:rFonts w:hint="eastAsia"/>
          <w:b/>
          <w:bCs/>
        </w:rPr>
        <w:t>【</w:t>
      </w:r>
      <w:r>
        <w:rPr>
          <w:rFonts w:hint="eastAsia"/>
        </w:rPr>
        <w:t>桐城派</w:t>
      </w:r>
      <w:r>
        <w:rPr>
          <w:rFonts w:hint="eastAsia"/>
          <w:b/>
          <w:bCs/>
        </w:rPr>
        <w:t>】</w:t>
      </w:r>
    </w:p>
    <w:p>
      <w:pPr>
        <w:spacing w:after="200" w:line="360" w:lineRule="exact"/>
        <w:ind w:firstLine="420" w:firstLineChars="200"/>
      </w:pPr>
      <w:r>
        <w:t>桐城派是清代散文影响最大的一个流派</w:t>
      </w:r>
      <w:r>
        <w:rPr>
          <w:rFonts w:hint="eastAsia"/>
        </w:rPr>
        <w:t>，</w:t>
      </w:r>
      <w:r>
        <w:t>创始人是康熙年间的方苞</w:t>
      </w:r>
      <w:r>
        <w:rPr>
          <w:rFonts w:hint="eastAsia"/>
        </w:rPr>
        <w:t>，</w:t>
      </w:r>
      <w:r>
        <w:t>刘大櫆、姚鼐继承并发展了他的理论</w:t>
      </w:r>
      <w:r>
        <w:rPr>
          <w:rFonts w:hint="eastAsia"/>
        </w:rPr>
        <w:t>，</w:t>
      </w:r>
      <w:r>
        <w:t>三人并称为“桐城三祖”。他们对散文创作有一套完整的理论和鲜明的主张。方苞注重文章的“义法”</w:t>
      </w:r>
      <w:r>
        <w:rPr>
          <w:rFonts w:hint="eastAsia"/>
        </w:rPr>
        <w:t>，“</w:t>
      </w:r>
      <w:r>
        <w:t>义”即“言有物”</w:t>
      </w:r>
      <w:r>
        <w:rPr>
          <w:rFonts w:hint="eastAsia"/>
        </w:rPr>
        <w:t>，“</w:t>
      </w:r>
      <w:r>
        <w:t>法”即“言有序”</w:t>
      </w:r>
      <w:r>
        <w:rPr>
          <w:rFonts w:hint="eastAsia"/>
        </w:rPr>
        <w:t>，</w:t>
      </w:r>
      <w:r>
        <w:t>主张古文“清正雅洁”。姚鼐是桐城派的集大成者。他强调“义理、考据、辞章</w:t>
      </w:r>
      <w:r>
        <w:rPr>
          <w:rFonts w:hint="eastAsia"/>
        </w:rPr>
        <w:t>，</w:t>
      </w:r>
      <w:r>
        <w:t>三者不可偏废”</w:t>
      </w:r>
      <w:r>
        <w:rPr>
          <w:rFonts w:hint="eastAsia"/>
        </w:rPr>
        <w:t>，</w:t>
      </w:r>
      <w:r>
        <w:t>就是要以“辞章”为手段</w:t>
      </w:r>
      <w:r>
        <w:rPr>
          <w:rFonts w:hint="eastAsia"/>
        </w:rPr>
        <w:t>，</w:t>
      </w:r>
      <w:r>
        <w:t>以“考据”为凭借</w:t>
      </w:r>
      <w:r>
        <w:rPr>
          <w:rFonts w:hint="eastAsia"/>
        </w:rPr>
        <w:t>，</w:t>
      </w:r>
      <w:r>
        <w:t>来阐发儒家的“义理”。桐城派的文章内容多是宣传儒家思想</w:t>
      </w:r>
      <w:r>
        <w:rPr>
          <w:rFonts w:hint="eastAsia"/>
        </w:rPr>
        <w:t>，</w:t>
      </w:r>
      <w:r>
        <w:t>语言力求简明达意</w:t>
      </w:r>
      <w:r>
        <w:rPr>
          <w:rFonts w:hint="eastAsia"/>
        </w:rPr>
        <w:t>，</w:t>
      </w:r>
      <w:r>
        <w:t>条理清晰。</w:t>
      </w:r>
      <w:r>
        <w:rPr>
          <w:rFonts w:hint="eastAsia"/>
        </w:rPr>
        <w:t xml:space="preserve"> </w:t>
      </w:r>
      <w:r>
        <w:t>方苞、刘大櫆、姚鼐都是桐城</w:t>
      </w:r>
      <w:r>
        <w:rPr>
          <w:rFonts w:hint="eastAsia"/>
        </w:rPr>
        <w:t>人，故人称桐城派。</w:t>
      </w:r>
    </w:p>
    <w:p>
      <w:pPr>
        <w:spacing w:after="200" w:line="360" w:lineRule="exact"/>
        <w:ind w:firstLine="420" w:firstLineChars="200"/>
      </w:pPr>
      <w:r>
        <w:rPr>
          <w:rFonts w:hint="eastAsia"/>
        </w:rPr>
        <w:t xml:space="preserve">（二）文化常识           </w:t>
      </w:r>
    </w:p>
    <w:p>
      <w:pPr>
        <w:spacing w:after="200" w:line="360" w:lineRule="exact"/>
        <w:ind w:firstLine="420" w:firstLineChars="200"/>
      </w:pPr>
      <w:r>
        <w:rPr>
          <w:rFonts w:hint="eastAsia"/>
        </w:rPr>
        <w:t>1．</w:t>
      </w:r>
      <w:r>
        <w:t>泰山在山东省中部</w:t>
      </w:r>
      <w:r>
        <w:rPr>
          <w:rFonts w:hint="eastAsia"/>
        </w:rPr>
        <w:t>，</w:t>
      </w:r>
      <w:r>
        <w:t>古称东岳</w:t>
      </w:r>
      <w:r>
        <w:rPr>
          <w:rFonts w:hint="eastAsia"/>
        </w:rPr>
        <w:t>，</w:t>
      </w:r>
      <w:r>
        <w:t>别称岱岳、岱宗</w:t>
      </w:r>
      <w:r>
        <w:rPr>
          <w:rFonts w:hint="eastAsia"/>
        </w:rPr>
        <w:t>，</w:t>
      </w:r>
      <w:r>
        <w:t>与南岳衡山（在湖南）、西岳华山（在陕西）、北岳恒山（在山西）、中岳嵩山（在河南）并称五岳</w:t>
      </w:r>
      <w:r>
        <w:rPr>
          <w:rFonts w:hint="eastAsia"/>
        </w:rPr>
        <w:t>，</w:t>
      </w:r>
      <w:r>
        <w:t>而泰山居东</w:t>
      </w:r>
      <w:r>
        <w:rPr>
          <w:rFonts w:hint="eastAsia"/>
        </w:rPr>
        <w:t>，</w:t>
      </w:r>
      <w:r>
        <w:t>突兀挺拔</w:t>
      </w:r>
      <w:r>
        <w:rPr>
          <w:rFonts w:hint="eastAsia"/>
        </w:rPr>
        <w:t>，</w:t>
      </w:r>
      <w:r>
        <w:t>雄伟壮丽</w:t>
      </w:r>
      <w:r>
        <w:rPr>
          <w:rFonts w:hint="eastAsia"/>
        </w:rPr>
        <w:t>，</w:t>
      </w:r>
      <w:r>
        <w:t>被尊为“五岳独长”“五岳独尊”。泰山自然景观雄伟绝奇</w:t>
      </w:r>
      <w:r>
        <w:rPr>
          <w:rFonts w:hint="eastAsia"/>
        </w:rPr>
        <w:t>，</w:t>
      </w:r>
      <w:r>
        <w:t>有数千年精神文化的渗透渲染和人文景观的烘托</w:t>
      </w:r>
      <w:r>
        <w:rPr>
          <w:rFonts w:hint="eastAsia"/>
        </w:rPr>
        <w:t>，</w:t>
      </w:r>
      <w:r>
        <w:t>被誉为中华民族精</w:t>
      </w:r>
      <w:r>
        <w:rPr>
          <w:rFonts w:hint="eastAsia"/>
        </w:rPr>
        <w:t>神文化的缩影。</w:t>
      </w:r>
      <w:r>
        <w:t>1987年</w:t>
      </w:r>
      <w:r>
        <w:rPr>
          <w:rFonts w:hint="eastAsia"/>
        </w:rPr>
        <w:t>，</w:t>
      </w:r>
      <w:r>
        <w:t>被联合国教科文组织定为世界自然与文化遗产。泰山风景以壮丽著称。累叠的山势</w:t>
      </w:r>
      <w:r>
        <w:rPr>
          <w:rFonts w:hint="eastAsia"/>
        </w:rPr>
        <w:t>，</w:t>
      </w:r>
      <w:r>
        <w:t>厚重的形体</w:t>
      </w:r>
      <w:r>
        <w:rPr>
          <w:rFonts w:hint="eastAsia"/>
        </w:rPr>
        <w:t>，</w:t>
      </w:r>
      <w:r>
        <w:t>苍松巨石的烘托</w:t>
      </w:r>
      <w:r>
        <w:rPr>
          <w:rFonts w:hint="eastAsia"/>
        </w:rPr>
        <w:t>，</w:t>
      </w:r>
      <w:r>
        <w:t>云烟岚光的变化</w:t>
      </w:r>
      <w:r>
        <w:rPr>
          <w:rFonts w:hint="eastAsia"/>
        </w:rPr>
        <w:t>，</w:t>
      </w:r>
      <w:r>
        <w:t>使它在雄浑中兼有明丽</w:t>
      </w:r>
      <w:r>
        <w:rPr>
          <w:rFonts w:hint="eastAsia"/>
        </w:rPr>
        <w:t>，</w:t>
      </w:r>
      <w:r>
        <w:t>静穆中透着神奇</w:t>
      </w:r>
      <w:r>
        <w:rPr>
          <w:rFonts w:hint="eastAsia"/>
        </w:rPr>
        <w:t>，</w:t>
      </w:r>
      <w:r>
        <w:t>成为我国山水名胜的集大成者。</w:t>
      </w:r>
    </w:p>
    <w:p>
      <w:pPr>
        <w:spacing w:after="200" w:line="320" w:lineRule="exact"/>
        <w:ind w:firstLine="420" w:firstLineChars="200"/>
      </w:pPr>
      <w:r>
        <w:rPr>
          <w:rFonts w:hint="eastAsia"/>
        </w:rPr>
        <w:t>2．</w:t>
      </w:r>
      <w:r>
        <w:t>泰山之阳</w:t>
      </w:r>
      <w:r>
        <w:rPr>
          <w:rFonts w:hint="eastAsia"/>
        </w:rPr>
        <w:t>，</w:t>
      </w:r>
      <w:r>
        <w:t>汶水西流；其阴</w:t>
      </w:r>
      <w:r>
        <w:rPr>
          <w:rFonts w:hint="eastAsia"/>
        </w:rPr>
        <w:t>，</w:t>
      </w:r>
      <w:r>
        <w:t>济水东流。山南水北为阳</w:t>
      </w:r>
      <w:r>
        <w:rPr>
          <w:rFonts w:hint="eastAsia"/>
        </w:rPr>
        <w:t>，</w:t>
      </w:r>
      <w:r>
        <w:t>山北水南为阴。</w:t>
      </w:r>
    </w:p>
    <w:p>
      <w:pPr>
        <w:spacing w:after="200" w:line="200" w:lineRule="exact"/>
        <w:ind w:firstLine="420" w:firstLineChars="200"/>
      </w:pPr>
      <w:r>
        <w:rPr>
          <w:rFonts w:hint="eastAsia"/>
        </w:rPr>
        <w:t>3．</w:t>
      </w:r>
      <w:r>
        <w:t>戊申晦五鼓</w:t>
      </w:r>
    </w:p>
    <w:p>
      <w:pPr>
        <w:spacing w:after="200" w:line="200" w:lineRule="exact"/>
        <w:ind w:firstLine="420" w:firstLineChars="200"/>
      </w:pPr>
      <w:r>
        <w:t>戊申</w:t>
      </w:r>
      <w:r>
        <w:rPr>
          <w:rFonts w:hint="eastAsia"/>
        </w:rPr>
        <w:t>，</w:t>
      </w:r>
      <w:r>
        <w:t>以干支来纪日</w:t>
      </w:r>
      <w:r>
        <w:rPr>
          <w:rFonts w:hint="eastAsia"/>
        </w:rPr>
        <w:t>，</w:t>
      </w:r>
      <w:r>
        <w:t>这一天又是月末</w:t>
      </w:r>
      <w:r>
        <w:rPr>
          <w:rFonts w:hint="eastAsia"/>
        </w:rPr>
        <w:t>，</w:t>
      </w:r>
      <w:r>
        <w:t>故称“晦”（古时农历每月第一天叫朔</w:t>
      </w:r>
      <w:r>
        <w:rPr>
          <w:rFonts w:hint="eastAsia"/>
        </w:rPr>
        <w:t>，</w:t>
      </w:r>
      <w:r>
        <w:t>十五称望</w:t>
      </w:r>
      <w:r>
        <w:rPr>
          <w:rFonts w:hint="eastAsia"/>
        </w:rPr>
        <w:t>，</w:t>
      </w:r>
      <w:r>
        <w:t>十六称既望</w:t>
      </w:r>
      <w:r>
        <w:rPr>
          <w:rFonts w:hint="eastAsia"/>
        </w:rPr>
        <w:t>，</w:t>
      </w:r>
      <w:r>
        <w:t>最后一天叫晦）。</w:t>
      </w:r>
    </w:p>
    <w:p>
      <w:pPr>
        <w:spacing w:after="200" w:line="200" w:lineRule="exact"/>
        <w:ind w:firstLine="420" w:firstLineChars="200"/>
      </w:pPr>
      <w:r>
        <w:t>五鼓</w:t>
      </w:r>
      <w:r>
        <w:rPr>
          <w:rFonts w:hint="eastAsia"/>
        </w:rPr>
        <w:t>，</w:t>
      </w:r>
      <w:r>
        <w:t>也就是五更天。古时</w:t>
      </w:r>
      <w:r>
        <w:rPr>
          <w:rFonts w:hint="eastAsia"/>
        </w:rPr>
        <w:t>夜击鼓报更，故以“鼓”为更的代称。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三、问题导思</w:t>
      </w: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rPr>
          <w:rFonts w:hint="eastAsia"/>
        </w:rPr>
      </w:pPr>
      <w:r>
        <w:rPr>
          <w:rFonts w:hint="eastAsia"/>
        </w:rPr>
        <w:t>任务一：熟读课文，把握节奏，疏通文意。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任务二：文本探究</w:t>
      </w:r>
    </w:p>
    <w:p>
      <w:pPr>
        <w:rPr>
          <w:rFonts w:hint="eastAsia"/>
        </w:rPr>
      </w:pPr>
      <w:r>
        <w:rPr>
          <w:rFonts w:hint="eastAsia"/>
        </w:rPr>
        <w:t>1．文章通过写景物变化描写泰山顶上的日出，是按照什么顺序写景物变化的？描写了怎样的胜景？</w:t>
      </w:r>
    </w:p>
    <w:p>
      <w:pPr>
        <w:tabs>
          <w:tab w:val="left" w:pos="312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>
      <w:pPr>
        <w:rPr>
          <w:rFonts w:hint="eastAsia"/>
        </w:rPr>
      </w:pPr>
      <w:r>
        <w:rPr>
          <w:rFonts w:hint="eastAsia"/>
        </w:rPr>
        <w:t>2．第四段写了观日出后的游览，主要写了哪些人文景观？有什么好处？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任务三：疑难探究</w:t>
      </w:r>
    </w:p>
    <w:p>
      <w:pPr>
        <w:rPr>
          <w:rFonts w:hint="eastAsia"/>
        </w:rPr>
      </w:pPr>
      <w:r>
        <w:rPr>
          <w:rFonts w:hint="eastAsia" w:ascii="仿宋" w:hAnsi="仿宋" w:eastAsia="仿宋"/>
          <w:bCs/>
          <w:sz w:val="24"/>
        </w:rPr>
        <w:t>1.</w:t>
      </w:r>
      <w:r>
        <w:t></w:t>
      </w:r>
      <w:r>
        <w:rPr>
          <w:rFonts w:hint="eastAsia"/>
        </w:rPr>
        <w:t>本文运用比喻、拟人的修辞手法描绘景物，找出具体语句体会其特点和作用。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仿宋" w:hAnsi="仿宋" w:eastAsia="仿宋"/>
          <w:bCs/>
          <w:sz w:val="24"/>
        </w:rPr>
        <w:t>2.</w:t>
      </w:r>
      <w:r>
        <w:t></w:t>
      </w:r>
      <w:r>
        <w:rPr>
          <w:rFonts w:hint="eastAsia"/>
        </w:rPr>
        <w:t>姚鼐的《登泰山记》将“</w:t>
      </w:r>
      <w:r>
        <w:t>义理、考据、辞章</w:t>
      </w:r>
      <w:r>
        <w:rPr>
          <w:rFonts w:hint="eastAsia"/>
        </w:rPr>
        <w:t>”（即要求文章表达一定的道理，并且有坚实的事实论据，同时也要文采斐然）融于一体，成功地实践了他的文学主张。请结合文章分析。</w:t>
      </w:r>
    </w:p>
    <w:p>
      <w:pPr>
        <w:tabs>
          <w:tab w:val="left" w:pos="312"/>
        </w:tabs>
        <w:adjustRightInd w:val="0"/>
        <w:snapToGrid w:val="0"/>
        <w:spacing w:line="360" w:lineRule="auto"/>
        <w:rPr>
          <w:rFonts w:ascii="宋体" w:hAnsi="宋体"/>
          <w:sz w:val="24"/>
          <w:szCs w:val="21"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rPr>
          <w:rFonts w:ascii="宋体" w:hAnsi="宋体"/>
          <w:sz w:val="24"/>
          <w:szCs w:val="21"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rPr>
          <w:rFonts w:ascii="宋体" w:hAnsi="宋体"/>
          <w:sz w:val="24"/>
          <w:szCs w:val="21"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rPr>
          <w:rFonts w:ascii="宋体" w:hAnsi="宋体"/>
          <w:sz w:val="24"/>
          <w:szCs w:val="21"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rPr>
          <w:rFonts w:hint="eastAsia" w:ascii="宋体" w:hAnsi="宋体"/>
          <w:sz w:val="24"/>
          <w:szCs w:val="21"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rPr>
          <w:rFonts w:hint="eastAsia" w:ascii="宋体" w:hAnsi="宋体"/>
          <w:sz w:val="24"/>
          <w:szCs w:val="21"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rPr>
          <w:rFonts w:hint="eastAsia" w:ascii="宋体" w:hAnsi="宋体"/>
          <w:sz w:val="24"/>
          <w:szCs w:val="21"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rPr>
          <w:rFonts w:hint="eastAsia" w:ascii="宋体" w:hAnsi="宋体"/>
          <w:sz w:val="24"/>
          <w:szCs w:val="21"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rPr>
          <w:rFonts w:hint="eastAsia" w:ascii="宋体" w:hAnsi="宋体"/>
          <w:sz w:val="24"/>
          <w:szCs w:val="21"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rPr>
          <w:rFonts w:hint="eastAsia" w:ascii="宋体" w:hAnsi="宋体"/>
          <w:sz w:val="24"/>
          <w:szCs w:val="21"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rPr>
          <w:rFonts w:hint="eastAsia" w:ascii="宋体" w:hAnsi="宋体"/>
          <w:sz w:val="24"/>
          <w:szCs w:val="21"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rPr>
          <w:rFonts w:hint="eastAsia" w:ascii="宋体" w:hAnsi="宋体"/>
          <w:sz w:val="24"/>
          <w:szCs w:val="21"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rPr>
          <w:rFonts w:hint="eastAsia" w:ascii="宋体" w:hAnsi="宋体"/>
          <w:sz w:val="24"/>
          <w:szCs w:val="21"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rPr>
          <w:rFonts w:hint="eastAsia" w:ascii="宋体" w:hAnsi="宋体"/>
          <w:sz w:val="24"/>
          <w:szCs w:val="21"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rPr>
          <w:rFonts w:hint="eastAsia" w:ascii="宋体" w:hAnsi="宋体"/>
          <w:sz w:val="24"/>
          <w:szCs w:val="21"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rPr>
          <w:rFonts w:hint="eastAsia" w:ascii="宋体" w:hAnsi="宋体"/>
          <w:sz w:val="24"/>
          <w:szCs w:val="21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7" w:h="16839"/>
      <w:pgMar w:top="567" w:right="567" w:bottom="567" w:left="567" w:header="17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4899259C"/>
    <w:rsid w:val="4899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2022-12-30T01:51:00Z</dcterms:created>
  <dc:creator>Dr.er00</dc:creator>
  <cp:lastModifiedBy>Dr.er00</cp:lastModifiedBy>
  <dcterms:modified xsi:type="dcterms:W3CDTF">2022-12-30T01:52:00Z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D4D6FF01FEFA4BDCA347CF78AFE4D27E</vt:lpwstr>
  </property>
</Properties>
</file>