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华文中宋" w:hAnsi="华文中宋" w:eastAsia="华文中宋" w:cs="华文中宋"/>
          <w:sz w:val="28"/>
          <w:szCs w:val="28"/>
          <w:lang w:val="en-US" w:eastAsia="zh-CN"/>
        </w:rPr>
      </w:pPr>
      <w:bookmarkStart w:id="0" w:name="_GoBack"/>
      <w:r>
        <w:rPr>
          <w:rFonts w:hint="eastAsia" w:ascii="华文中宋" w:hAnsi="华文中宋" w:eastAsia="华文中宋" w:cs="华文中宋"/>
          <w:sz w:val="28"/>
          <w:szCs w:val="28"/>
          <w:lang w:val="en-US" w:eastAsia="zh-CN"/>
        </w:rPr>
        <w:t>在高质量发展大局中把握和践行高水平保护</w:t>
      </w:r>
    </w:p>
    <w:bookmarkEnd w:id="0"/>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lang w:val="en-US" w:eastAsia="zh-CN"/>
        </w:rPr>
      </w:pPr>
      <w:r>
        <w:rPr>
          <w:rFonts w:hint="eastAsia"/>
          <w:lang w:val="en-US" w:eastAsia="zh-CN"/>
        </w:rPr>
        <w:t xml:space="preserve">                                           原创 贾文龙 沈悦 中国经济时报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党的二十届三中全会审议通过的《中共中央关于进一步全面深化改革、推进中国式现代化的决定》强调，高质量发展是全面建设社会主义现代化国家的首要任务。高水平保护是高质量发展的重要支撑，我们要在高质量发展大局中把握和践行高水平保护，以高水平保护支撑高质量发展、推进中国式现代化。</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rPr>
        <w:t>高质量发展大局下高水平保护的学理内涵</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习近平总书记指出，高水平保护是高质量发展的重要支撑，生态优先、绿色低碳的高质量发展只有依靠高水平保护才能实现。这是习近平经济思想与习近平生态文明思想的发展与融合，体现党对保护与发展关系的规律性认识达到了新高度，要求高水平保护把握新发展阶段、贯彻新发展理念、构建新发展格局。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高水平保护是进入新发展阶段的必由之路。我国经济已由高速增长阶段转向高质量发展阶段，这要求我们实施全面节约战略，缓解资源环境约束；提供更多优质生态产品，解决人民日益增长的美好生活需要和不平衡不充分的发展之间的矛盾；着力构建绿色低碳循环经济体系，促进要素驱动、规模驱动向创新驱动转变。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高水平保护是贯彻新发展理念的必然要求。完整、准确、全面贯彻新发展理念，要求创新资源配置方式，实现资源配置效率最优化和效益最大化；优化国土空间格局，构建优势互补的区域经济布局和国土空间体系；全面促进资源节约集约利用，用最小的资源环境代价取得最大的经济社会效益；推动构建公平合理、合作共赢的全球资源环境治理体系；加快完善落实“绿水青山就是金山银山”理念的体制机制，让全体人民共享发展成果。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高水平保护是构建新发展格局的重要保障。构建以国内大循环为主体、国内国际双循环相互促进的新发展格局，要求健全自然资源资产产权制度和管理制度体系，实现“资源变资产、资产变资本、资本变资金、资金护资源”全流程闭环，畅通经济循环；促进自然资源要素高效率、高质量、稳供给，提升深地、深海、深空等认知、保护与利用水平，完善战略性矿产资源探产供储销统筹和衔接体系，提升产业链供应链韧性和安全水平。</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厦门是习近平生态文明思想的重要孕育地和先行实践地，30余年的习近平生态文明思想“厦门实践”是以高水平保护支撑高质量发展的典范，证明了保护与发展不是对立的，“关键在人，关键在思路”。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及时回应人民群众最关心最迫切的需求是出发点和落脚点，解决“要不要”的问题。筼筜湖综合治理，是为回应群众“筼筜湖何时不再黑臭”的强烈诉求；修复观音山沙滩，是“为把最美的沙滩留给百姓”；五缘湾片区治理开发，同样是“为把最好的滨海土地留给人民”。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把握人口、经济、资源环境相均衡的平衡点，解决“该不该”的问题。这是守住自然安全边界、预留发展空间的依据。针对“本岛基本饱和，而岛外发展明显滞后，经济腹地空间小”的客观问题，厦门沿着总书记“跨岛发展”战略方向，高规格划定生态控制线，大力度推进湾区综合整治，高品质开展国土空间开发，坚定走生态优先、绿色发展之路。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算大账、算长远账、算整体账、算综合账”，解决“能不能”的问题。“先规划再行动、先保护再发展”“先梳山理水、再造地营城”是“经济账”，资源节约“控源头”、空间管制“框边界”、资产配置“促流转”、生态修复“增资本”、环境治理“提品质”的组合拳是“管理账”，红树林湿地系统重构、沙滩修复、海堤开口等技术方案制定是“技术账”。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评估绿水青山转化为金山银山的实效，解决“好不好”的问题。守住绿水青山、恢复绿水青山、增值绿水青山，最终要转化成金山银山，是激发保护动力的关键。五缘湾片区“生态修复—土地储备—价值提升”模式，环东海域“综合整治—生态资源指标交易—增值收益分成”模式，思明区“生态+”的生态产业化经营模式，都是在准确研判资源生态优势与潜在需求的前提下，政府引导、培育市场、实现价值的生动案例。</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高质量发展大局下高水平保护的未来趋势</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新的实践推进理论创新、新的理论指导新的实践。党的二十届三中全会将生态文明体制改革作为进一步全面深化改革、推进中国式现代化的重要方面，习近平生态文明思想“厦门实践”经验正在全国发挥示范效应。高水平保护支撑高质量发展将体现为四个“更加”。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保护范围更加全面。资源、空间、资产、生态、环境一体多面，协同推进资源节约、空间优化、资产配置、生态修复、环境治理，完善资源总量管理和全面节约制度，健全统一行使全民所有自然资源资产所有者职责的体制机制，建立健全覆盖全域全类型、统一衔接的国土空间用途管制和规划许可制度，发挥全方位、全地域、全过程生态环境保护的综合效益。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保护体系更加系统。统筹考虑环境要素的复杂性、生态系统的完整性、自然地理单元的连续性、经济社会发展的可持续性，建立健全源头保护和全过程修复治理相结合的工作机制，强化目标协同、部门协同、区域协同、政策协同，统筹推进山水林田湖草沙一体化保护和系统治理。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保护方式更加科学。坚持尊重自然、顺应自然、保护自然，实施全国自然生态资源监测评价预警工程，摸清生态保护修复家底，分区分类分级建立生态保护修复全链条技术标准体系，推广生态保护修复先进技术，充分发挥专家智库在政府决策中的作用，强化科技支撑体系建设。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保护监管更加规范。坚持以制度建设为主线，完善由国土空间用途管制、生态环境管理制度、自然资源资产产权制度和管理制度、国家生态安全工作协调机制构成的生态文明基本体制，推动生态环境治理体系和治理能力现代化，推进生态环境治理责任体系、监管体系、市场体系、法律法规政策体系建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NWYwMmY2OTRhMGZhZTY4MmM2OTgzZTdiY2ExNDkifQ=="/>
    <w:docVar w:name="KSO_WPS_MARK_KEY" w:val="45842e4e-e86c-43d5-ad4a-18ead0ac7561"/>
  </w:docVars>
  <w:rsids>
    <w:rsidRoot w:val="00000000"/>
    <w:rsid w:val="01AB0EFD"/>
    <w:rsid w:val="027529E2"/>
    <w:rsid w:val="07CA741B"/>
    <w:rsid w:val="0A502094"/>
    <w:rsid w:val="0FFB4893"/>
    <w:rsid w:val="1304458A"/>
    <w:rsid w:val="14C83690"/>
    <w:rsid w:val="1A556258"/>
    <w:rsid w:val="22C22EA6"/>
    <w:rsid w:val="25447EB8"/>
    <w:rsid w:val="29142A44"/>
    <w:rsid w:val="2B991CC0"/>
    <w:rsid w:val="31074514"/>
    <w:rsid w:val="35B95D7A"/>
    <w:rsid w:val="3771453D"/>
    <w:rsid w:val="3ED210CC"/>
    <w:rsid w:val="437E75ED"/>
    <w:rsid w:val="46700DAA"/>
    <w:rsid w:val="55EE285F"/>
    <w:rsid w:val="56774B48"/>
    <w:rsid w:val="58B46F0C"/>
    <w:rsid w:val="6C24475A"/>
    <w:rsid w:val="6D4151EB"/>
    <w:rsid w:val="763F1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3539</Words>
  <Characters>3554</Characters>
  <Lines>0</Lines>
  <Paragraphs>0</Paragraphs>
  <TotalTime>41</TotalTime>
  <ScaleCrop>false</ScaleCrop>
  <LinksUpToDate>false</LinksUpToDate>
  <CharactersWithSpaces>3739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2024-09-11T07:50:00Z</dcterms:created>
  <dc:creator>yzzx</dc:creator>
  <cp:lastModifiedBy>庆阳</cp:lastModifiedBy>
  <dcterms:modified xsi:type="dcterms:W3CDTF">2024-11-11T07:48:26Z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412E2623CB6D42319594B75279A65A8B</vt:lpwstr>
  </property>
</Properties>
</file>