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着力增加居民收入 助力扩大居民消费</w:t>
      </w:r>
    </w:p>
    <w:bookmarkEnd w:id="0"/>
    <w:p>
      <w:pPr>
        <w:keepNext w:val="0"/>
        <w:keepLines w:val="0"/>
        <w:pageBreakBefore w:val="0"/>
        <w:widowControl w:val="0"/>
        <w:kinsoku/>
        <w:wordWrap/>
        <w:overflowPunct/>
        <w:topLinePunct w:val="0"/>
        <w:autoSpaceDE/>
        <w:autoSpaceDN/>
        <w:bidi w:val="0"/>
        <w:adjustRightInd/>
        <w:snapToGrid/>
        <w:ind w:firstLine="5460" w:firstLineChars="2600"/>
        <w:jc w:val="left"/>
        <w:textAlignment w:val="auto"/>
        <w:rPr>
          <w:rFonts w:hint="eastAsia"/>
          <w:lang w:val="en-US" w:eastAsia="zh-CN"/>
        </w:rPr>
      </w:pPr>
      <w:r>
        <w:rPr>
          <w:rFonts w:hint="eastAsia"/>
          <w:lang w:val="en-US" w:eastAsia="zh-CN"/>
        </w:rPr>
        <w:t>原创 张然 王琳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下一步，应坚持以人民为中心的发展思想，着力增加居民收入，优化财政支出结构，完善社会保障体系，多措并举扩大居民消费，充分发挥消费对经济增长的基础性作用，推动实现消费和投资的动态平衡，形成“政府培育消费，消费激活市场，市场引领企业，企业扩大投资”的良性循环，助力我国经济高质量发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党的二十届三中全会审议通过的《中共中央关于进一步全面深化改革、推进中国式现代化的决定》对“完善扩大消费长效机制”进行了战略部署。7月30日、9月26日召开的中共中央政治局会议分别强调“要以提振消费为重点扩大国内需求”“要把促消费和惠民生结合起来，促进中低收入群体增收，提升消费结构”。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今年以来，我国消费持续疲弱，上半年社会消费品零售总额同比增长3.7%，最终消费对经济增长的贡献率为60.5%。下半年以来，各部门鼓励和促进消费增长的政策力度不断加大，随着相关政策落地见效，近期消费数据有一定改善。未来随着扩内需、促消费政策落实落细，我国超大规模市场消费潜力有望不断释放。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当前，我国消费面临一些挑战，主要体现在以下几个方面。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第一，与全球主要经济体对比，目前我国消费不足的特征较为明显。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最终消费占GDP的比重偏低。2023年，我国最终消费占GDP的比重为56%，不但远低于美国（81%）、日本（75%）、德国（72%）等发达经济体，甚至明显低于与中国发展阶段接近或落后的国家，比如土耳其（72%）、印度（72%）、印尼（67%）。二是服务消费占比明显低于主要经济体。2023年，我国居民服务性消费支出偏低，占总消费支出的比重约为45%，远低于美国（68%）、日本（57%）等发达经济体。三是核心CPI自2013年有数据统计以来，大部分时间都位于2%以下，疫情以来基本位于1%以下。2012年以来，PPI同比已出现三轮负增长，2012年3月—2016年8月，PPI同比负增长持续54个月；2019年7月—2020年12月，持续了18个月；2022年10月—2024年10月，持续了25个月。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第二，周期性经济因素以及疫情短期冲击，直接造成消费持续疲软。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疫情“疤痕效应”导致居民就业不足和收入增长放缓，消费预期明显减弱。受企业投资积极性不足、“降薪潮”等宏观环境影响，居民对就业和收入前景的担忧加剧，预防性储蓄倾向持续上升，减少了消费支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居民持有的资产价值大幅缩水，形成“负向财富效应”，影响消费信心与消费意愿。2021年以来，房地产、股票价格下跌，产生一系列连锁反应，严重影响了居民的消费支出、消费能力和消费预期。当前，房地产相关消费在社会消费品零售总额中占比已超过10%，房地产行业下行对家具、家电、装潢等相关消费也带来直接的负面影响。三是财政政策的顺周期性对政府消费和居民消费带来负面冲击，降低了企业投资和居民消费水平。经济增速放缓时财政收入下滑，进而对财政支出力度形成制约，这间接进一步强化了企业和居民的负面预期。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第三，深层次的经济结构问题，对消费产生重大冲击。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从具有长期性的经济结构调整来看，一是我国居民可支配收入占GDP的比重偏低，区域、城乡、群体之间的收入和财富差距较大。2024年上半年，我国居民可支配收入占GDP的比重约为44%，远低于经济合作与发展组织（OECD）国家水平（50%—65%）。2024年上半年，上海市居民可支配收入为44735元，而西藏、甘肃、新疆等地方不足13000元。全国城镇居民人均可支配收入27561元，是农村居民（11272元）的2.44倍；全国居民人均可支配收入20733元，中位数为17358元，中位数低于平均数（约低19.4%），可见，中低收入群体的收入与高收入群体的收入差距较大，很大程度上抑制了中低收入群体的消费能力。招商银行发布的数据显示，2023年，占客户总数2.4%的金葵花及以上高级客户，其存款占总客户资产的比值高达81.2%。</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福利性财政支出占比偏低，社会保障体系不够完善。2023年，我国社会保障和就业支出占一般公共预算支出的比重为14.5%，远低于日本（32.3%）和美国（22%）。我国社会保障体系的资金缺口依赖个人和家庭支出填补，客观上抬高了居民部门针对养老托育等长期支出的谨慎性、预防性储蓄，压缩了消费潜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三是宏观调控政策侧重于从供给端发力，对消费的拉动作用不明显。为实现稳增长和扩内需目标，我国以往宏观调控政策主要从生产端和供给端发力，着力扩大投资，政府和居民部门消费产生了挤出效应。采取的消费刺激政策主要是通过减征购置税、财政资金直补等方式鼓励相关消费，而非通过增加居民收入等方式建立消费增长的长效机制，从而导致促消费的效果不具有可持续性。四是部分消费领域存在供给端约束。一方面，我国消费性服务行业发展相对滞后，总量供给不足。2020年，我国3岁以下婴幼儿入托率仅为5.5%左右，远低于OECD国家36%左右的平均入托率。2023年，我国每千名60周岁及以上老年人拥有养老床位仅为27.7张，低于国际通行标准（40—50张）。另一方面，社会资本进入职业教育、体育经纪等服务行业面临一定的显性或隐性壁垒，一些消费领域结构性过剩与不足并存。当前，在现代农业领域，低端化、同质化的商品和服务供给明显过剩，中高端消费品以及高品质、特色化服务供给相对短缺，尚不能均衡和充分地满足不同层次、不同收入群体的消费需求。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下一步，应坚持以人民为中心的发展思想，着力增加居民收入，优化财政支出结构，完善社会保障体系，多措并举扩大居民消费，充分发挥消费对经济增长的基础性作用，推动实现消费和投资的动态平衡，形成“政府培育消费，消费激活市场，市场引领企业，企业扩大投资”的良性循环，助力我国经济高质量发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财政政策短期应通过直达转移支付等措施推动居民可支配收入增长，中长期应增加民生和社会保障支出。短期内，丰富和完善直达居民部门的转移支付政策工具，由中央财政出资，向未就业高校毕业生、未就业青年、农村贫困家庭和65岁以上老人、三胎家庭等需要重点扶持的群体定向发放补贴，可尝试运用数字人民币发放补贴。中长期内，挖掘以公共设施与服务为重点的政府消费潜力，增加政府在教育、体育、医疗、养老、育幼等方面的公共消费支出，加强对城乡居民的社会保障，多渠道扩展社保缴费资金来源。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二是货币政策应将促进物价合理回升作为重要考量，在保证银行净息差总水平的情况下，进一步下调存贷款利率，对冲实际利率上行压力，促进潜在需求释放。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三是大力促进改善性住房需求释放，稳定居民资产价格预期。短期内，应通过进一步减少商品房市场的限制性措施，推动商品房流通环节减税降费和存量房收储等工作，大力促进改善性住房需求释放，稳住居民资产价格预期。中长期内，应持续推进户籍制度改革和以人为核心的新型城镇化建设，加快放宽放开大城市落户限制，推行由常住地登记户口提供基本公共服务制度，推进农村转移人口市民化。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四是改善国民收入分配格局，提高居民部门可支配收入占比。加快要素市场化改革，推动要素分配向劳动者倾斜，多渠道增加居民财产性收入。加强政府在再分配环节的调节作用，注重对居民部门的支持，调节行业间收入差距，增加低收入群体收入，扩大中等收入群体比重，重点把脱贫人口、进城农民工和老年人培育成中等收入群体。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五是破除服务消费领域的供给约束，增加中高端消费品供给，减少相关领域消费限制。近期，国务院出台了《关于促进服务消费高质量发展的意见》，从挖掘基础型消费潜力、激发改善型消费活力、培育壮大新型消费、增强服务消费动能、优化服务消费环境和强化政策保障等六个方面着手，旨在扩大服务消费范围和优化改善服务消费环境，增强服务消费发展内生动能。建议进一步放开对民营和国际资本的服务业准入条件，放宽健康、医疗、养老、教育、美容、文化等领域的市场准入条件，不断挖掘服务业新业态，激发文体娱乐和旅游等改善型消费。充分发挥服务业创造就业的特点，推动提高从业人员收入。增加中高端消费品和服务供给，减少对住房、汽车等相关消费领域的行政性限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27529E2"/>
    <w:rsid w:val="050635A5"/>
    <w:rsid w:val="10941D8D"/>
    <w:rsid w:val="11805305"/>
    <w:rsid w:val="149137FF"/>
    <w:rsid w:val="19F053C7"/>
    <w:rsid w:val="1A556258"/>
    <w:rsid w:val="1B2159FD"/>
    <w:rsid w:val="22C22EA6"/>
    <w:rsid w:val="26A42A93"/>
    <w:rsid w:val="2786250D"/>
    <w:rsid w:val="29142A44"/>
    <w:rsid w:val="3E9727E5"/>
    <w:rsid w:val="41C61AE5"/>
    <w:rsid w:val="437E75ED"/>
    <w:rsid w:val="44504D39"/>
    <w:rsid w:val="456F6C26"/>
    <w:rsid w:val="52114F03"/>
    <w:rsid w:val="58B46F0C"/>
    <w:rsid w:val="5B04130F"/>
    <w:rsid w:val="692E2442"/>
    <w:rsid w:val="6A4E3A1C"/>
    <w:rsid w:val="70955309"/>
    <w:rsid w:val="71BC7EA6"/>
    <w:rsid w:val="7B0E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3118</Words>
  <Characters>3294</Characters>
  <Lines>0</Lines>
  <Paragraphs>0</Paragraphs>
  <TotalTime>14</TotalTime>
  <ScaleCrop>false</ScaleCrop>
  <LinksUpToDate>false</LinksUpToDate>
  <CharactersWithSpaces>3326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2024-11-27T00:17:21Z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C1E7CBB3238D4BB0AE0533348CB3AC04</vt:lpwstr>
  </property>
</Properties>
</file>