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84" w:rsidRDefault="00240778">
      <w:pPr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“三新”时代下高中历史一轮复习策略的的再思考</w:t>
      </w:r>
    </w:p>
    <w:p w:rsidR="003C4A84" w:rsidRDefault="00240778">
      <w:pPr>
        <w:ind w:firstLineChars="1000" w:firstLine="28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>——</w:t>
      </w:r>
      <w:r>
        <w:rPr>
          <w:rFonts w:ascii="宋体" w:eastAsia="宋体" w:hAnsi="宋体" w:cs="宋体" w:hint="eastAsia"/>
          <w:sz w:val="24"/>
        </w:rPr>
        <w:t>中学历史教学园地第一届历史教学论坛学习心得</w:t>
      </w:r>
    </w:p>
    <w:p w:rsidR="003C4A84" w:rsidRDefault="00240778">
      <w:pPr>
        <w:rPr>
          <w:rFonts w:ascii="楷体" w:eastAsia="楷体" w:hAnsi="楷体" w:cs="楷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    </w:t>
      </w:r>
      <w:r>
        <w:rPr>
          <w:rFonts w:ascii="楷体" w:eastAsia="楷体" w:hAnsi="楷体" w:cs="楷体" w:hint="eastAsia"/>
          <w:sz w:val="28"/>
          <w:szCs w:val="28"/>
        </w:rPr>
        <w:t>江门市第一中学</w:t>
      </w:r>
      <w:r>
        <w:rPr>
          <w:rFonts w:ascii="楷体" w:eastAsia="楷体" w:hAnsi="楷体" w:cs="楷体" w:hint="eastAsia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sz w:val="28"/>
          <w:szCs w:val="28"/>
        </w:rPr>
        <w:t>辛鲁</w:t>
      </w:r>
    </w:p>
    <w:p w:rsidR="003C4A84" w:rsidRDefault="00240778">
      <w:pPr>
        <w:spacing w:line="360" w:lineRule="auto"/>
        <w:ind w:firstLine="5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2023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，在陈振晓名师工作室的组织下，我有幸参加了中学历史教学园地第一届历史教学论坛的线上学习。本次论坛邀请了全国历史教育界的专家、名师，围绕“赋能高质量教学，深析学考练素养”主题，对“三新”时代下的历史教学问题进行了深度的探讨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黄牧航、任世江等多位历史教育专家从教育理论到实践，向老师们进一步解读了新课程、新教材、新高考的理念，并在学科核心素养的培养策略上给出了建议和指导。来自一线的优秀教师也就教学实践中的具体问题，分享了自己的经验与做法。其中，河北</w:t>
      </w:r>
      <w:r>
        <w:rPr>
          <w:rFonts w:ascii="宋体" w:eastAsia="宋体" w:hAnsi="宋体" w:cs="宋体"/>
          <w:sz w:val="24"/>
        </w:rPr>
        <w:t>正定中学特级教师</w:t>
      </w:r>
      <w:r>
        <w:rPr>
          <w:rFonts w:ascii="宋体" w:eastAsia="宋体" w:hAnsi="宋体" w:cs="宋体" w:hint="eastAsia"/>
          <w:sz w:val="24"/>
        </w:rPr>
        <w:t>杨正午老师的讲座《嫁知通识、密接高考——历史备考之思考》，给我留下深刻印象。</w:t>
      </w:r>
    </w:p>
    <w:p w:rsidR="003C4A84" w:rsidRDefault="00240778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讲座中杨老师用“失落感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”、”迷失感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”、“恐惧感”三个“感”字关键词，总结了新高考背景下的师生困惑，而这也是当前我在备考教学中所面临的实际问题。如何解决这些问题？杨老师从三个方面提出了应对策略</w:t>
      </w:r>
      <w:r>
        <w:rPr>
          <w:rFonts w:ascii="宋体" w:eastAsia="宋体" w:hAnsi="宋体" w:cs="宋体" w:hint="eastAsia"/>
          <w:sz w:val="24"/>
        </w:rPr>
        <w:t>，即教师“嫁知通识”、学生“</w:t>
      </w:r>
      <w:r>
        <w:rPr>
          <w:rFonts w:ascii="宋体" w:eastAsia="宋体" w:hAnsi="宋体" w:cs="宋体"/>
          <w:sz w:val="24"/>
        </w:rPr>
        <w:t>构知获识</w:t>
      </w:r>
      <w:r>
        <w:rPr>
          <w:rFonts w:ascii="宋体" w:eastAsia="宋体" w:hAnsi="宋体" w:cs="宋体" w:hint="eastAsia"/>
          <w:sz w:val="24"/>
        </w:rPr>
        <w:t>”、训练“借题生识”。他的备考策略让人耳目一新、深受启发，特别是在教考衔接问题上有许多值得借鉴的地方，使我对一轮复习备考策略形成了一些新的思考。</w:t>
      </w:r>
    </w:p>
    <w:p w:rsidR="003C4A84" w:rsidRDefault="0024077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一、重视顶层规划，顺应课改新形势</w:t>
      </w:r>
    </w:p>
    <w:p w:rsidR="003C4A84" w:rsidRDefault="00240778">
      <w:pPr>
        <w:spacing w:line="360" w:lineRule="auto"/>
        <w:ind w:firstLine="5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关于复习模式的选择。讲座谈中杨老师提到两种新型的复习的模式，并强调应根据学生实际情况选择复习模式。传统三轮复习模式在新教材容量大、知识点多的情况下，很难全程落实，往往是前松后紧、草草收场。目前，省内很多名校采取得是“一步到位”式复习模式，对优等生有利，但不利于基础薄弱的学生。综合我校历史班</w:t>
      </w:r>
      <w:r>
        <w:rPr>
          <w:rFonts w:ascii="宋体" w:eastAsia="宋体" w:hAnsi="宋体" w:cs="宋体" w:hint="eastAsia"/>
          <w:sz w:val="24"/>
        </w:rPr>
        <w:t>各班情况来看，普通班每班都一些基础薄弱的学生，因而“通史系统复习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微观通史复习</w:t>
      </w:r>
      <w:r>
        <w:rPr>
          <w:rFonts w:ascii="宋体" w:eastAsia="宋体" w:hAnsi="宋体" w:cs="宋体" w:hint="eastAsia"/>
          <w:sz w:val="24"/>
        </w:rPr>
        <w:t>+</w:t>
      </w:r>
      <w:r>
        <w:rPr>
          <w:rFonts w:ascii="宋体" w:eastAsia="宋体" w:hAnsi="宋体" w:cs="宋体" w:hint="eastAsia"/>
          <w:sz w:val="24"/>
        </w:rPr>
        <w:t>综合训练”的复习模式更适合我们的学生。对于通史系统复习的具体做法，我想补充谈一下自己的看法。一轮通史复习中不能局限于纲要上下两册的内容，而是要把有关选必修的内容渗透进来，这种渗透不是硬塞，而是一种融通。通过两者的结合，使复习达到纵横贯通的作用。例如，在复习纲要上册中国古代史时，我们可以把选择性必修一关于中国古代的政治制度、选官</w:t>
      </w:r>
      <w:r>
        <w:rPr>
          <w:rFonts w:ascii="宋体" w:eastAsia="宋体" w:hAnsi="宋体" w:cs="宋体" w:hint="eastAsia"/>
          <w:sz w:val="24"/>
        </w:rPr>
        <w:lastRenderedPageBreak/>
        <w:t>制度、赋税制度等内容融入进来，使学生对中国古代各时期的国家治理情况有一个全面认识，同时打通各制度之间的联</w:t>
      </w:r>
      <w:r>
        <w:rPr>
          <w:rFonts w:ascii="宋体" w:eastAsia="宋体" w:hAnsi="宋体" w:cs="宋体" w:hint="eastAsia"/>
          <w:sz w:val="24"/>
        </w:rPr>
        <w:t>系，比如唐宋朝之后的赋税制度的变革对户籍制度的影响。在以纲要上为主线复习完中国古代史后，我们可以再以选必修内容为主线，开展进微专题复习从纵向视角，引导学生对各项制度进行分类梳理，认识其演变发展的规律。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此外，还可以将纲要的内容作为背景与选择性必修的内容融通起来。例如，复习纲要下册“中世纪后期西欧社会新变化时，可将选择性必修一中关</w:t>
      </w:r>
      <w:r>
        <w:rPr>
          <w:rFonts w:ascii="宋体" w:eastAsia="宋体" w:hAnsi="宋体" w:cs="宋体" w:hint="eastAsia"/>
          <w:color w:val="0000FF"/>
          <w:sz w:val="24"/>
        </w:rPr>
        <w:t>于</w:t>
      </w:r>
      <w:r>
        <w:rPr>
          <w:rFonts w:ascii="宋体" w:eastAsia="宋体" w:hAnsi="宋体" w:cs="宋体" w:hint="eastAsia"/>
          <w:sz w:val="24"/>
        </w:rPr>
        <w:t>中古时期西欧国家治理内容整理为下表：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4"/>
        <w:gridCol w:w="7646"/>
      </w:tblGrid>
      <w:tr w:rsidR="003C4A84">
        <w:trPr>
          <w:trHeight w:val="926"/>
        </w:trPr>
        <w:tc>
          <w:tcPr>
            <w:tcW w:w="1025" w:type="dxa"/>
          </w:tcPr>
          <w:p w:rsidR="003C4A84" w:rsidRDefault="003C4A84">
            <w:pPr>
              <w:rPr>
                <w:rFonts w:ascii="楷体" w:eastAsia="楷体" w:hAnsi="楷体" w:cs="楷体"/>
                <w:sz w:val="24"/>
              </w:rPr>
            </w:pPr>
          </w:p>
          <w:p w:rsidR="003C4A84" w:rsidRDefault="003C4A84">
            <w:pPr>
              <w:rPr>
                <w:rFonts w:ascii="楷体" w:eastAsia="楷体" w:hAnsi="楷体" w:cs="楷体"/>
                <w:sz w:val="24"/>
              </w:rPr>
            </w:pPr>
          </w:p>
          <w:p w:rsidR="003C4A84" w:rsidRDefault="0024077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中世纪后期的变化</w:t>
            </w:r>
          </w:p>
        </w:tc>
        <w:tc>
          <w:tcPr>
            <w:tcW w:w="8163" w:type="dxa"/>
          </w:tcPr>
          <w:p w:rsidR="003C4A84" w:rsidRDefault="0024077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政治上：中古后期，西欧各国王权有不同程度的加强，英、法、葡、西成为新兴王权集中国家。</w:t>
            </w:r>
          </w:p>
          <w:p w:rsidR="003C4A84" w:rsidRDefault="0024077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链接选择性必修一内容</w:t>
            </w:r>
            <w:r>
              <w:rPr>
                <w:rFonts w:ascii="楷体" w:eastAsia="楷体" w:hAnsi="楷体" w:cs="楷体" w:hint="eastAsia"/>
                <w:sz w:val="24"/>
              </w:rPr>
              <w:t>(</w:t>
            </w:r>
            <w:r>
              <w:rPr>
                <w:rFonts w:ascii="楷体" w:eastAsia="楷体" w:hAnsi="楷体" w:cs="楷体" w:hint="eastAsia"/>
                <w:sz w:val="24"/>
              </w:rPr>
              <w:t>国家治理的新变化）：</w:t>
            </w:r>
          </w:p>
          <w:p w:rsidR="003C4A84" w:rsidRDefault="0024077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1.</w:t>
            </w:r>
            <w:r>
              <w:rPr>
                <w:rFonts w:ascii="楷体" w:eastAsia="楷体" w:hAnsi="楷体" w:cs="楷体" w:hint="eastAsia"/>
                <w:sz w:val="24"/>
              </w:rPr>
              <w:t>政治制度上，法国形成了等级君主制，英国形成议会制度，国王借助议会进行统治（教材</w:t>
            </w:r>
            <w:r>
              <w:rPr>
                <w:rFonts w:ascii="楷体" w:eastAsia="楷体" w:hAnsi="楷体" w:cs="楷体" w:hint="eastAsia"/>
                <w:sz w:val="24"/>
              </w:rPr>
              <w:t>P10</w:t>
            </w:r>
            <w:r>
              <w:rPr>
                <w:rFonts w:ascii="楷体" w:eastAsia="楷体" w:hAnsi="楷体" w:cs="楷体" w:hint="eastAsia"/>
                <w:sz w:val="24"/>
              </w:rPr>
              <w:t>页）；</w:t>
            </w:r>
          </w:p>
          <w:p w:rsidR="003C4A84" w:rsidRDefault="0024077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2.</w:t>
            </w:r>
            <w:r>
              <w:rPr>
                <w:rFonts w:ascii="楷体" w:eastAsia="楷体" w:hAnsi="楷体" w:cs="楷体" w:hint="eastAsia"/>
                <w:sz w:val="24"/>
              </w:rPr>
              <w:t>用官制度上，实行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恩赐官职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制（教材</w:t>
            </w:r>
            <w:r>
              <w:rPr>
                <w:rFonts w:ascii="楷体" w:eastAsia="楷体" w:hAnsi="楷体" w:cs="楷体" w:hint="eastAsia"/>
                <w:sz w:val="24"/>
              </w:rPr>
              <w:t>P35</w:t>
            </w:r>
            <w:r>
              <w:rPr>
                <w:rFonts w:ascii="楷体" w:eastAsia="楷体" w:hAnsi="楷体" w:cs="楷体" w:hint="eastAsia"/>
                <w:sz w:val="24"/>
              </w:rPr>
              <w:t>页）；</w:t>
            </w:r>
          </w:p>
          <w:p w:rsidR="003C4A84" w:rsidRDefault="0024077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3.</w:t>
            </w:r>
            <w:r>
              <w:rPr>
                <w:rFonts w:ascii="楷体" w:eastAsia="楷体" w:hAnsi="楷体" w:cs="楷体" w:hint="eastAsia"/>
                <w:sz w:val="24"/>
              </w:rPr>
              <w:t>法律制度上，</w:t>
            </w:r>
            <w:r>
              <w:rPr>
                <w:rFonts w:ascii="楷体" w:eastAsia="楷体" w:hAnsi="楷体" w:cs="楷体" w:hint="eastAsia"/>
                <w:sz w:val="24"/>
              </w:rPr>
              <w:t>11</w:t>
            </w:r>
            <w:r>
              <w:rPr>
                <w:rFonts w:ascii="楷体" w:eastAsia="楷体" w:hAnsi="楷体" w:cs="楷体" w:hint="eastAsia"/>
                <w:sz w:val="24"/>
              </w:rPr>
              <w:t>世纪以后，欧洲出现了研究和宣传罗马法的运动。</w:t>
            </w:r>
            <w:r>
              <w:rPr>
                <w:rFonts w:ascii="楷体" w:eastAsia="楷体" w:hAnsi="楷体" w:cs="楷体" w:hint="eastAsia"/>
                <w:sz w:val="24"/>
              </w:rPr>
              <w:t>12</w:t>
            </w:r>
            <w:r>
              <w:rPr>
                <w:rFonts w:ascii="楷体" w:eastAsia="楷体" w:hAnsi="楷体" w:cs="楷体" w:hint="eastAsia"/>
                <w:sz w:val="24"/>
              </w:rPr>
              <w:t>世纪前后，英国的普通法（建立在习惯法基础上、全国普遍适用的法律）形成。</w:t>
            </w:r>
            <w:r>
              <w:rPr>
                <w:rFonts w:ascii="楷体" w:eastAsia="楷体" w:hAnsi="楷体" w:cs="楷体" w:hint="eastAsia"/>
                <w:sz w:val="24"/>
              </w:rPr>
              <w:t>13</w:t>
            </w:r>
            <w:r>
              <w:rPr>
                <w:rFonts w:ascii="楷体" w:eastAsia="楷体" w:hAnsi="楷体" w:cs="楷体" w:hint="eastAsia"/>
                <w:sz w:val="24"/>
              </w:rPr>
              <w:t>世纪以后，随着王权加强，法国统一法律的步伐加快，建立在罗马法基础上的法律体系日益成熟（教材</w:t>
            </w:r>
            <w:r>
              <w:rPr>
                <w:rFonts w:ascii="楷体" w:eastAsia="楷体" w:hAnsi="楷体" w:cs="楷体" w:hint="eastAsia"/>
                <w:sz w:val="24"/>
              </w:rPr>
              <w:t>P50</w:t>
            </w:r>
            <w:r>
              <w:rPr>
                <w:rFonts w:ascii="楷体" w:eastAsia="楷体" w:hAnsi="楷体" w:cs="楷体" w:hint="eastAsia"/>
                <w:sz w:val="24"/>
              </w:rPr>
              <w:t>页）</w:t>
            </w:r>
          </w:p>
          <w:p w:rsidR="003C4A84" w:rsidRDefault="0024077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4.</w:t>
            </w:r>
            <w:r>
              <w:rPr>
                <w:rFonts w:ascii="楷体" w:eastAsia="楷体" w:hAnsi="楷体" w:cs="楷体" w:hint="eastAsia"/>
                <w:sz w:val="24"/>
              </w:rPr>
              <w:t>基层治理上，城市享有不同程度的自治，行会或商会上层分子把持城市政权，行</w:t>
            </w:r>
            <w:r>
              <w:rPr>
                <w:rFonts w:ascii="楷体" w:eastAsia="楷体" w:hAnsi="楷体" w:cs="楷体" w:hint="eastAsia"/>
                <w:sz w:val="24"/>
              </w:rPr>
              <w:t>使城市治理的职责……各国在继承地方自治传统的基础上，加强了对基层治理的管理。（教材</w:t>
            </w:r>
            <w:r>
              <w:rPr>
                <w:rFonts w:ascii="楷体" w:eastAsia="楷体" w:hAnsi="楷体" w:cs="楷体" w:hint="eastAsia"/>
                <w:sz w:val="24"/>
              </w:rPr>
              <w:t>P105</w:t>
            </w:r>
            <w:r>
              <w:rPr>
                <w:rFonts w:ascii="楷体" w:eastAsia="楷体" w:hAnsi="楷体" w:cs="楷体" w:hint="eastAsia"/>
                <w:sz w:val="24"/>
              </w:rPr>
              <w:t>页）</w:t>
            </w:r>
          </w:p>
        </w:tc>
      </w:tr>
    </w:tbl>
    <w:p w:rsidR="003C4A84" w:rsidRDefault="0024077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通过表格引导学生认识中世纪后期“王权的加强、城市的兴起”是引起西欧政治制度、选官制度、法律制度以及基层社会治理的重要原因，进而将纲要与选择性必修的知识有机联系起来。</w:t>
      </w:r>
    </w:p>
    <w:p w:rsidR="003C4A84" w:rsidRDefault="0024077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2.</w:t>
      </w:r>
      <w:r>
        <w:rPr>
          <w:rFonts w:ascii="宋体" w:eastAsia="宋体" w:hAnsi="宋体" w:cs="宋体" w:hint="eastAsia"/>
          <w:sz w:val="24"/>
        </w:rPr>
        <w:t>关于课程内容的重构问题。《普通高中课程方案》（</w:t>
      </w:r>
      <w:r>
        <w:rPr>
          <w:rFonts w:ascii="宋体" w:eastAsia="宋体" w:hAnsi="宋体" w:cs="宋体" w:hint="eastAsia"/>
          <w:sz w:val="24"/>
        </w:rPr>
        <w:t>2017</w:t>
      </w:r>
      <w:r>
        <w:rPr>
          <w:rFonts w:ascii="宋体" w:eastAsia="宋体" w:hAnsi="宋体" w:cs="宋体" w:hint="eastAsia"/>
          <w:sz w:val="24"/>
        </w:rPr>
        <w:t>年版）提出：“重视以学科大概念为核心，课程内容结构化，以主题为引领，使课程内容情境化，促进学科核心素养的落实。”</w:t>
      </w:r>
      <w:r>
        <w:rPr>
          <w:rFonts w:ascii="宋体" w:eastAsia="宋体" w:hAnsi="宋体" w:cs="宋体" w:hint="eastAsia"/>
          <w:sz w:val="24"/>
        </w:rPr>
        <w:t>2023</w:t>
      </w:r>
      <w:r>
        <w:rPr>
          <w:rFonts w:ascii="宋体" w:eastAsia="宋体" w:hAnsi="宋体" w:cs="宋体" w:hint="eastAsia"/>
          <w:sz w:val="24"/>
        </w:rPr>
        <w:t>年广东高考卷第</w:t>
      </w:r>
      <w:r>
        <w:rPr>
          <w:rFonts w:ascii="宋体" w:eastAsia="宋体" w:hAnsi="宋体" w:cs="宋体" w:hint="eastAsia"/>
          <w:sz w:val="24"/>
        </w:rPr>
        <w:t>19</w:t>
      </w:r>
      <w:r>
        <w:rPr>
          <w:rFonts w:ascii="宋体" w:eastAsia="宋体" w:hAnsi="宋体" w:cs="宋体" w:hint="eastAsia"/>
          <w:sz w:val="24"/>
        </w:rPr>
        <w:t>题要求学生从不同的主题视角“对中华古代文明史</w:t>
      </w:r>
      <w:r>
        <w:rPr>
          <w:rFonts w:ascii="宋体" w:eastAsia="宋体" w:hAnsi="宋体" w:cs="宋体" w:hint="eastAsia"/>
          <w:sz w:val="24"/>
        </w:rPr>
        <w:t>进行分期并阐述，正是这一理念在高考评价当中的反映。由此可见，单元主题式教学是当前高考备考复习的潮流与趋势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，我们应予以重视，在一轮复习中要利用单元主题重构课程内容，引导学生从不同的视角认识历史，并形成结构化的知识体系。例如，可以从中华文明演进的各阶段特征认识中国古代史，将教材的单元内容进行重构：</w:t>
      </w:r>
    </w:p>
    <w:tbl>
      <w:tblPr>
        <w:tblStyle w:val="a6"/>
        <w:tblW w:w="8192" w:type="dxa"/>
        <w:tblInd w:w="231" w:type="dxa"/>
        <w:tblLook w:val="04A0" w:firstRow="1" w:lastRow="0" w:firstColumn="1" w:lastColumn="0" w:noHBand="0" w:noVBand="1"/>
      </w:tblPr>
      <w:tblGrid>
        <w:gridCol w:w="3367"/>
        <w:gridCol w:w="4825"/>
      </w:tblGrid>
      <w:tr w:rsidR="003C4A84">
        <w:tc>
          <w:tcPr>
            <w:tcW w:w="3367" w:type="dxa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教材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目录</w:t>
            </w:r>
          </w:p>
        </w:tc>
        <w:tc>
          <w:tcPr>
            <w:tcW w:w="4825" w:type="dxa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重构单元主题</w:t>
            </w:r>
          </w:p>
        </w:tc>
      </w:tr>
      <w:tr w:rsidR="003C4A84">
        <w:trPr>
          <w:trHeight w:val="374"/>
        </w:trPr>
        <w:tc>
          <w:tcPr>
            <w:tcW w:w="3367" w:type="dxa"/>
            <w:vMerge w:val="restart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第一单元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 xml:space="preserve">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从中华文明起源到秦汉大一统封建国家的建立与巩固</w:t>
            </w:r>
          </w:p>
        </w:tc>
        <w:tc>
          <w:tcPr>
            <w:tcW w:w="4825" w:type="dxa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第一单元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 xml:space="preserve">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中华文明的起源与奠基（先秦）</w:t>
            </w:r>
          </w:p>
        </w:tc>
      </w:tr>
      <w:tr w:rsidR="003C4A84">
        <w:trPr>
          <w:trHeight w:val="357"/>
        </w:trPr>
        <w:tc>
          <w:tcPr>
            <w:tcW w:w="3367" w:type="dxa"/>
            <w:vMerge/>
          </w:tcPr>
          <w:p w:rsidR="003C4A84" w:rsidRDefault="003C4A84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825" w:type="dxa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第二单元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 xml:space="preserve">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中华文明的统一与发展（秦汉）</w:t>
            </w:r>
          </w:p>
        </w:tc>
      </w:tr>
      <w:tr w:rsidR="003C4A84">
        <w:trPr>
          <w:trHeight w:val="397"/>
        </w:trPr>
        <w:tc>
          <w:tcPr>
            <w:tcW w:w="3367" w:type="dxa"/>
            <w:vMerge w:val="restart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lastRenderedPageBreak/>
              <w:t>第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单元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三国两晋南北朝的民族交融与隋唐大一统的发展</w:t>
            </w:r>
          </w:p>
        </w:tc>
        <w:tc>
          <w:tcPr>
            <w:tcW w:w="4825" w:type="dxa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第三单元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中华文明的分裂与融合（魏晋南北朝）</w:t>
            </w:r>
          </w:p>
        </w:tc>
      </w:tr>
      <w:tr w:rsidR="003C4A84">
        <w:tc>
          <w:tcPr>
            <w:tcW w:w="3367" w:type="dxa"/>
            <w:vMerge/>
          </w:tcPr>
          <w:p w:rsidR="003C4A84" w:rsidRDefault="003C4A84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</w:p>
        </w:tc>
        <w:tc>
          <w:tcPr>
            <w:tcW w:w="4825" w:type="dxa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kern w:val="2"/>
                <w:sz w:val="21"/>
                <w:szCs w:val="21"/>
                <w:lang w:bidi="ar-SA"/>
              </w:rPr>
            </w:pP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第四单元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2"/>
                <w:sz w:val="21"/>
                <w:szCs w:val="21"/>
                <w:lang w:bidi="ar-SA"/>
              </w:rPr>
              <w:t>中华文明的繁荣与开放（隋唐）</w:t>
            </w:r>
          </w:p>
        </w:tc>
      </w:tr>
      <w:tr w:rsidR="003C4A84">
        <w:tc>
          <w:tcPr>
            <w:tcW w:w="3367" w:type="dxa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三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单元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辽宋夏金多民族政权的并立与元朝的统一</w:t>
            </w:r>
          </w:p>
        </w:tc>
        <w:tc>
          <w:tcPr>
            <w:tcW w:w="4825" w:type="dxa"/>
            <w:vAlign w:val="center"/>
          </w:tcPr>
          <w:p w:rsidR="003C4A84" w:rsidRDefault="00240778">
            <w:pPr>
              <w:pStyle w:val="a5"/>
              <w:widowControl/>
              <w:jc w:val="center"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第五单元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中华文明的巩固与成熟（辽宋夏金元）</w:t>
            </w:r>
          </w:p>
        </w:tc>
      </w:tr>
      <w:tr w:rsidR="003C4A84">
        <w:tc>
          <w:tcPr>
            <w:tcW w:w="3367" w:type="dxa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第四单元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明清中国版图的奠定与面临的挑战</w:t>
            </w:r>
          </w:p>
        </w:tc>
        <w:tc>
          <w:tcPr>
            <w:tcW w:w="4825" w:type="dxa"/>
          </w:tcPr>
          <w:p w:rsidR="003C4A84" w:rsidRDefault="00240778">
            <w:pPr>
              <w:pStyle w:val="a5"/>
              <w:widowControl/>
              <w:rPr>
                <w:rFonts w:ascii="楷体" w:eastAsia="楷体" w:hAnsi="楷体" w:cs="楷体"/>
                <w:color w:val="000000"/>
                <w:sz w:val="21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第六单元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sz w:val="21"/>
                <w:szCs w:val="21"/>
              </w:rPr>
              <w:t>中华文明的鼎盛与危机（明清）</w:t>
            </w:r>
          </w:p>
        </w:tc>
      </w:tr>
    </w:tbl>
    <w:p w:rsidR="003C4A84" w:rsidRDefault="00240778">
      <w:pPr>
        <w:spacing w:line="360" w:lineRule="auto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二、巧用精练真题，加强教考密衔接</w:t>
      </w:r>
    </w:p>
    <w:p w:rsidR="003C4A84" w:rsidRDefault="00240778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2017</w:t>
      </w:r>
      <w:r>
        <w:rPr>
          <w:rFonts w:ascii="宋体" w:eastAsia="宋体" w:hAnsi="宋体" w:cs="宋体" w:hint="eastAsia"/>
          <w:sz w:val="24"/>
        </w:rPr>
        <w:t>年新课标出台，课程目标发生了从到“</w:t>
      </w:r>
      <w:r>
        <w:rPr>
          <w:rFonts w:ascii="宋体" w:eastAsia="宋体" w:hAnsi="宋体" w:cs="宋体"/>
          <w:sz w:val="24"/>
        </w:rPr>
        <w:t>三维目标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到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核心素养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 w:hint="eastAsia"/>
          <w:sz w:val="24"/>
        </w:rPr>
        <w:t>的转向，这一转变给高考评价带来什么变化，近些年的国卷和各地省卷可以说给出了我们答案。因此，研究、用好高考真题，加强教考衔接，是一轮复习必须重视的问题。杨老师在讲座中分享了自己“借题生识”的做法，我认为很值得去借鉴和学习，结合个人的体会，总结为以下几点：</w:t>
      </w:r>
    </w:p>
    <w:p w:rsidR="003C4A84" w:rsidRDefault="00240778">
      <w:pPr>
        <w:numPr>
          <w:ilvl w:val="0"/>
          <w:numId w:val="1"/>
        </w:num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课前：教师收集整理与复习内容相关的高考真题，通过对试题的研读掌握考情，把握考向，精准施教。除了教师要掌握考情外，个人认为学生也有必要了解。教师可以把整理的“考情分析表”和“考向预测”，用学案印发给学生，便于学生在自主复习时能准确地抓住方向和重点。</w:t>
      </w:r>
    </w:p>
    <w:p w:rsidR="003C4A84" w:rsidRDefault="00240778">
      <w:pPr>
        <w:numPr>
          <w:ilvl w:val="0"/>
          <w:numId w:val="1"/>
        </w:num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课堂：把高</w:t>
      </w:r>
      <w:r>
        <w:rPr>
          <w:rFonts w:ascii="宋体" w:eastAsia="宋体" w:hAnsi="宋体" w:cs="宋体" w:hint="eastAsia"/>
          <w:sz w:val="24"/>
        </w:rPr>
        <w:t>考试题融入课堂教学设计中，通过试题创设情，起到巩固复习、深化理解、拓展思维、提升素养的作用。叶小兵教授曾提到“叙述过于浓缩”是新教材难以处理的一个问题，而新高考又往往是通过具体的情境来全面考查学生的素养。高考试题给我们创设教学情境提供了丰富而典型的素材，在备考复习加以合理利用，能有效提高备考效率。比如，杨老师在讲座提到用“告身”图（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北京高考题）、政事堂的设置（</w:t>
      </w:r>
      <w:r>
        <w:rPr>
          <w:rFonts w:ascii="宋体" w:eastAsia="宋体" w:hAnsi="宋体" w:cs="宋体" w:hint="eastAsia"/>
          <w:sz w:val="24"/>
        </w:rPr>
        <w:t>2013</w:t>
      </w:r>
      <w:r>
        <w:rPr>
          <w:rFonts w:ascii="宋体" w:eastAsia="宋体" w:hAnsi="宋体" w:cs="宋体" w:hint="eastAsia"/>
          <w:sz w:val="24"/>
        </w:rPr>
        <w:t>年江苏、</w:t>
      </w:r>
      <w:r>
        <w:rPr>
          <w:rFonts w:ascii="宋体" w:eastAsia="宋体" w:hAnsi="宋体" w:cs="宋体" w:hint="eastAsia"/>
          <w:sz w:val="24"/>
        </w:rPr>
        <w:t>2020</w:t>
      </w:r>
      <w:r>
        <w:rPr>
          <w:rFonts w:ascii="宋体" w:eastAsia="宋体" w:hAnsi="宋体" w:cs="宋体" w:hint="eastAsia"/>
          <w:sz w:val="24"/>
        </w:rPr>
        <w:t>年浙江高考题）创设学术情境，让学生分析三省制的运行机制及作用。这些情境问的创设，不仅拓展了学生的思维，更是涵育了学生的</w:t>
      </w:r>
      <w:r>
        <w:rPr>
          <w:rFonts w:ascii="宋体" w:eastAsia="宋体" w:hAnsi="宋体" w:cs="宋体" w:hint="eastAsia"/>
          <w:sz w:val="24"/>
        </w:rPr>
        <w:t>素养。在教学中，我也尝试了这一做法。比如在复习中世纪后期王权加强这一问题时，我利用了两道高考题（</w:t>
      </w:r>
      <w:r>
        <w:rPr>
          <w:rFonts w:ascii="宋体" w:eastAsia="宋体" w:hAnsi="宋体" w:cs="宋体" w:hint="eastAsia"/>
          <w:sz w:val="24"/>
        </w:rPr>
        <w:t>2022</w:t>
      </w:r>
      <w:r>
        <w:rPr>
          <w:rFonts w:ascii="宋体" w:eastAsia="宋体" w:hAnsi="宋体" w:cs="宋体" w:hint="eastAsia"/>
          <w:sz w:val="24"/>
        </w:rPr>
        <w:t>年辽宁高考、山东高考）材料创设学术情境，通过“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世纪法国卡佩王朝时期加强王权的举措”，引导学生总结出王权加强的一般方式和手段，进而理解教材的结论，深化认知。</w:t>
      </w:r>
    </w:p>
    <w:p w:rsidR="003C4A84" w:rsidRDefault="00240778">
      <w:pPr>
        <w:numPr>
          <w:ilvl w:val="0"/>
          <w:numId w:val="1"/>
        </w:numPr>
        <w:spacing w:line="360" w:lineRule="auto"/>
        <w:ind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课后：按考点范围和考向整理高考真题，形成课时专项练习，便于课后及时巩固学习内容，同时让思维和素养得到进一步的提升和锻炼。做题的作用除了加强巩固训练之外，个人认为更重要的让学生能对自己的学习进行审视，在做题</w:t>
      </w:r>
      <w:r>
        <w:rPr>
          <w:rFonts w:ascii="宋体" w:eastAsia="宋体" w:hAnsi="宋体" w:cs="宋体" w:hint="eastAsia"/>
          <w:sz w:val="24"/>
        </w:rPr>
        <w:lastRenderedPageBreak/>
        <w:t>中领悟考向、总结规律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、补漏纠偏。杨老师在讲</w:t>
      </w:r>
      <w:r>
        <w:rPr>
          <w:rFonts w:ascii="宋体" w:eastAsia="宋体" w:hAnsi="宋体" w:cs="宋体" w:hint="eastAsia"/>
          <w:sz w:val="24"/>
        </w:rPr>
        <w:t>座中曾主张让学生“构知获识”，并介绍了多种构知的方法，这些方法对培养尖子生确实是非常有效，但对于中等和基础较弱的学生来说，操作起来存在很多困难。个人认为这个问题可以通过综合性试题的训练来解决。教师可以精选一些典型的综合性试题（横向、纵向贯通），让学生以试题主题为方向，在对答案整理的基础上从新的视角或线索构建知识体系。例如，在复习完中国古代史后，我选了</w:t>
      </w:r>
      <w:r>
        <w:rPr>
          <w:rFonts w:ascii="宋体" w:eastAsia="宋体" w:hAnsi="宋体" w:cs="宋体" w:hint="eastAsia"/>
          <w:sz w:val="24"/>
        </w:rPr>
        <w:t>2021</w:t>
      </w:r>
      <w:r>
        <w:rPr>
          <w:rFonts w:ascii="宋体" w:eastAsia="宋体" w:hAnsi="宋体" w:cs="宋体" w:hint="eastAsia"/>
          <w:sz w:val="24"/>
        </w:rPr>
        <w:t>年湖南卷的开放性试题作为阶段性测试的题目。在评讲的基础上，又进一步让学生进一步围绕“变与不变”主题，从政治和思想文化两方面对中国古代史进行全面系统梳理并</w:t>
      </w:r>
      <w:r>
        <w:rPr>
          <w:rFonts w:ascii="宋体" w:eastAsia="宋体" w:hAnsi="宋体" w:cs="宋体" w:hint="eastAsia"/>
          <w:sz w:val="24"/>
        </w:rPr>
        <w:t>论述成文。通过这样的训练，让学生能够在主题的引领下学会重构知识，并对知识形成宏观的、规律性认识，深化思维能力的训练。</w:t>
      </w:r>
    </w:p>
    <w:p w:rsidR="003C4A84" w:rsidRDefault="00240778">
      <w:pPr>
        <w:spacing w:line="360" w:lineRule="auto"/>
        <w:ind w:left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本次论坛学习虽然短督，但精准、务实的课程安排，让我感到收获颇丰。“纸</w:t>
      </w:r>
    </w:p>
    <w:p w:rsidR="003C4A84" w:rsidRDefault="00240778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上得来终觉浅，绝知此事要躬行”。专家和名师的指导，开阔了我们的视野，解开了一些我们的困惑，但要真正适应“三新”时代的变革，还需要我们自己在教学实践中摸索思考，勇于做改革的开拓者和领路人。</w:t>
      </w:r>
    </w:p>
    <w:p w:rsidR="003C4A84" w:rsidRDefault="003C4A84">
      <w:pPr>
        <w:spacing w:line="312" w:lineRule="auto"/>
        <w:ind w:leftChars="200" w:left="420"/>
        <w:rPr>
          <w:rFonts w:ascii="Helvetica" w:eastAsia="宋体" w:hAnsi="Helvetica" w:cs="Helvetica"/>
          <w:color w:val="333333"/>
          <w:sz w:val="24"/>
          <w:shd w:val="clear" w:color="auto" w:fill="FFFFFF"/>
        </w:rPr>
      </w:pPr>
    </w:p>
    <w:p w:rsidR="003C4A84" w:rsidRDefault="00240778">
      <w:pPr>
        <w:spacing w:line="312" w:lineRule="auto"/>
        <w:ind w:leftChars="200" w:left="420"/>
        <w:rPr>
          <w:sz w:val="24"/>
        </w:rPr>
      </w:pPr>
      <w:r>
        <w:rPr>
          <w:rFonts w:ascii="Helvetica" w:eastAsia="宋体" w:hAnsi="Helvetica" w:cs="Helvetica" w:hint="eastAsia"/>
          <w:color w:val="333333"/>
          <w:sz w:val="24"/>
          <w:shd w:val="clear" w:color="auto" w:fill="FFFFFF"/>
        </w:rPr>
        <w:t>论坛回看地址：</w:t>
      </w:r>
      <w:hyperlink r:id="rId8" w:history="1">
        <w:r>
          <w:rPr>
            <w:rStyle w:val="a8"/>
            <w:rFonts w:hint="eastAsia"/>
            <w:sz w:val="24"/>
          </w:rPr>
          <w:t>https://zkpfs.</w:t>
        </w:r>
        <w:r>
          <w:rPr>
            <w:rStyle w:val="a8"/>
            <w:rFonts w:hint="eastAsia"/>
            <w:sz w:val="24"/>
          </w:rPr>
          <w:t>xet.tech/s/2nAuc2</w:t>
        </w:r>
      </w:hyperlink>
    </w:p>
    <w:p w:rsidR="003C4A84" w:rsidRDefault="003C4A84">
      <w:pPr>
        <w:spacing w:line="312" w:lineRule="auto"/>
        <w:ind w:leftChars="200" w:left="420"/>
        <w:rPr>
          <w:sz w:val="24"/>
        </w:rPr>
      </w:pPr>
    </w:p>
    <w:p w:rsidR="003C4A84" w:rsidRDefault="00240778">
      <w:pPr>
        <w:spacing w:line="312" w:lineRule="auto"/>
        <w:ind w:leftChars="200" w:left="420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1226820" cy="1226820"/>
            <wp:effectExtent l="0" t="0" r="5080" b="5080"/>
            <wp:docPr id="2" name="图片 2" descr="二维码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 (7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A84" w:rsidRDefault="00240778">
      <w:pPr>
        <w:spacing w:line="312" w:lineRule="auto"/>
        <w:ind w:leftChars="200" w:left="420"/>
        <w:jc w:val="center"/>
        <w:rPr>
          <w:rFonts w:ascii="Helvetica" w:eastAsia="宋体" w:hAnsi="Helvetica" w:cs="Helvetica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4"/>
        </w:rPr>
        <w:t>可以扫码观看回放</w:t>
      </w:r>
    </w:p>
    <w:p w:rsidR="003C4A84" w:rsidRDefault="003C4A84">
      <w:pPr>
        <w:spacing w:line="360" w:lineRule="auto"/>
        <w:rPr>
          <w:rFonts w:ascii="宋体" w:eastAsia="宋体" w:hAnsi="宋体" w:cs="宋体"/>
          <w:sz w:val="24"/>
        </w:rPr>
      </w:pPr>
    </w:p>
    <w:p w:rsidR="003C4A84" w:rsidRDefault="003C4A84">
      <w:pPr>
        <w:spacing w:line="360" w:lineRule="auto"/>
        <w:ind w:firstLine="520"/>
        <w:rPr>
          <w:rFonts w:ascii="宋体" w:eastAsia="宋体" w:hAnsi="宋体" w:cs="宋体"/>
          <w:sz w:val="24"/>
        </w:rPr>
      </w:pPr>
    </w:p>
    <w:p w:rsidR="003C4A84" w:rsidRDefault="003C4A84">
      <w:pPr>
        <w:spacing w:line="360" w:lineRule="auto"/>
        <w:ind w:firstLine="520"/>
        <w:jc w:val="left"/>
        <w:rPr>
          <w:rFonts w:ascii="宋体" w:eastAsia="宋体" w:hAnsi="宋体" w:cs="宋体"/>
          <w:sz w:val="24"/>
        </w:rPr>
      </w:pPr>
    </w:p>
    <w:p w:rsidR="003C4A84" w:rsidRDefault="003C4A84">
      <w:pPr>
        <w:spacing w:line="360" w:lineRule="auto"/>
        <w:ind w:firstLine="520"/>
        <w:rPr>
          <w:rFonts w:ascii="宋体" w:eastAsia="宋体" w:hAnsi="宋体" w:cs="宋体"/>
          <w:sz w:val="24"/>
        </w:rPr>
      </w:pPr>
    </w:p>
    <w:p w:rsidR="003C4A84" w:rsidRDefault="003C4A84">
      <w:pPr>
        <w:spacing w:line="360" w:lineRule="auto"/>
        <w:ind w:firstLine="520"/>
        <w:rPr>
          <w:rFonts w:ascii="宋体" w:eastAsia="宋体" w:hAnsi="宋体" w:cs="宋体"/>
          <w:sz w:val="24"/>
        </w:rPr>
      </w:pPr>
    </w:p>
    <w:p w:rsidR="003C4A84" w:rsidRDefault="003C4A84">
      <w:pPr>
        <w:spacing w:line="360" w:lineRule="auto"/>
        <w:ind w:firstLine="520"/>
        <w:rPr>
          <w:rFonts w:ascii="宋体" w:eastAsia="宋体" w:hAnsi="宋体" w:cs="宋体"/>
          <w:sz w:val="24"/>
        </w:rPr>
      </w:pPr>
    </w:p>
    <w:p w:rsidR="003C4A84" w:rsidRDefault="003C4A84">
      <w:pPr>
        <w:spacing w:line="360" w:lineRule="auto"/>
        <w:ind w:firstLine="520"/>
        <w:rPr>
          <w:rFonts w:ascii="宋体" w:eastAsia="宋体" w:hAnsi="宋体" w:cs="宋体"/>
          <w:sz w:val="24"/>
        </w:rPr>
      </w:pPr>
    </w:p>
    <w:p w:rsidR="003C4A84" w:rsidRDefault="003C4A84">
      <w:pPr>
        <w:spacing w:line="360" w:lineRule="auto"/>
        <w:ind w:firstLine="520"/>
        <w:rPr>
          <w:rFonts w:ascii="宋体" w:eastAsia="宋体" w:hAnsi="宋体" w:cs="宋体"/>
          <w:sz w:val="24"/>
        </w:rPr>
      </w:pPr>
    </w:p>
    <w:p w:rsidR="003C4A84" w:rsidRDefault="003C4A84">
      <w:pPr>
        <w:spacing w:line="360" w:lineRule="auto"/>
        <w:ind w:firstLine="520"/>
        <w:rPr>
          <w:rFonts w:ascii="宋体" w:eastAsia="宋体" w:hAnsi="宋体" w:cs="宋体"/>
          <w:sz w:val="24"/>
        </w:rPr>
      </w:pPr>
    </w:p>
    <w:sectPr w:rsidR="003C4A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83" w:right="1746" w:bottom="1383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0778">
      <w:r>
        <w:separator/>
      </w:r>
    </w:p>
  </w:endnote>
  <w:endnote w:type="continuationSeparator" w:id="0">
    <w:p w:rsidR="00000000" w:rsidRDefault="0024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78" w:rsidRDefault="002407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81118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40778" w:rsidRDefault="00240778" w:rsidP="00240778">
            <w:pPr>
              <w:pStyle w:val="a3"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hint="eastAsia"/>
              </w:rPr>
              <w:t>第</w:t>
            </w:r>
            <w:r>
              <w:rPr>
                <w:lang w:val="zh-CN"/>
              </w:rPr>
              <w:t xml:space="preserve"> 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>PAGE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noProof/>
                <w:kern w:val="0"/>
                <w:szCs w:val="21"/>
              </w:rPr>
              <w:t>1</w: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，共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>NUMPAGES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noProof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页</w:t>
            </w:r>
          </w:p>
        </w:sdtContent>
      </w:sdt>
    </w:sdtContent>
  </w:sdt>
  <w:p w:rsidR="00240778" w:rsidRDefault="00240778" w:rsidP="00240778">
    <w:pPr>
      <w:pStyle w:val="a3"/>
      <w:tabs>
        <w:tab w:val="clear" w:pos="4153"/>
        <w:tab w:val="left" w:pos="5335"/>
      </w:tabs>
      <w:jc w:val="center"/>
    </w:pPr>
    <w:r>
      <w:rPr>
        <w:rFonts w:hint="eastAsia"/>
        <w:kern w:val="0"/>
        <w:szCs w:val="21"/>
      </w:rPr>
      <w:t>中学历史教学园地</w:t>
    </w:r>
    <w:r>
      <w:rPr>
        <w:kern w:val="0"/>
        <w:szCs w:val="21"/>
      </w:rPr>
      <w:t xml:space="preserve">  </w:t>
    </w:r>
    <w:hyperlink r:id="rId1" w:history="1">
      <w:r>
        <w:rPr>
          <w:rStyle w:val="a8"/>
          <w:kern w:val="0"/>
          <w:szCs w:val="21"/>
        </w:rPr>
        <w:t>www</w:t>
      </w:r>
      <w:r>
        <w:rPr>
          <w:rStyle w:val="a8"/>
          <w:rFonts w:hint="eastAsia"/>
          <w:kern w:val="0"/>
          <w:szCs w:val="21"/>
        </w:rPr>
        <w:t>．</w:t>
      </w:r>
      <w:r>
        <w:rPr>
          <w:rStyle w:val="a8"/>
          <w:kern w:val="0"/>
          <w:szCs w:val="21"/>
        </w:rPr>
        <w:t>zxls</w:t>
      </w:r>
      <w:r>
        <w:rPr>
          <w:rStyle w:val="a8"/>
          <w:rFonts w:hint="eastAsia"/>
          <w:kern w:val="0"/>
          <w:szCs w:val="21"/>
        </w:rPr>
        <w:t>．</w:t>
      </w:r>
      <w:r>
        <w:rPr>
          <w:rStyle w:val="a8"/>
          <w:kern w:val="0"/>
          <w:szCs w:val="21"/>
        </w:rPr>
        <w:t>com</w:t>
      </w:r>
    </w:hyperlink>
    <w:r>
      <w:rPr>
        <w:kern w:val="0"/>
        <w:szCs w:val="21"/>
      </w:rPr>
      <w:t xml:space="preserve">  </w:t>
    </w:r>
    <w:r>
      <w:rPr>
        <w:rFonts w:hint="eastAsia"/>
        <w:kern w:val="0"/>
        <w:szCs w:val="21"/>
      </w:rPr>
      <w:t>史界朋友精神家园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78" w:rsidRDefault="002407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0778">
      <w:r>
        <w:separator/>
      </w:r>
    </w:p>
  </w:footnote>
  <w:footnote w:type="continuationSeparator" w:id="0">
    <w:p w:rsidR="00000000" w:rsidRDefault="0024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78" w:rsidRDefault="002407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78" w:rsidRDefault="00240778" w:rsidP="00240778">
    <w:pPr>
      <w:pStyle w:val="a4"/>
      <w:pBdr>
        <w:bottom w:val="single" w:sz="6" w:space="0" w:color="auto"/>
      </w:pBdr>
      <w:jc w:val="center"/>
      <w:rPr>
        <w:rFonts w:ascii="黑体" w:eastAsia="黑体" w:hAnsi="Gungsuh" w:cs="Times New Roman"/>
        <w:sz w:val="21"/>
        <w:szCs w:val="21"/>
      </w:rPr>
    </w:pPr>
    <w:r>
      <w:rPr>
        <w:rFonts w:ascii="Calibri" w:eastAsia="宋体" w:hAnsi="Calibri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-770255</wp:posOffset>
              </wp:positionH>
              <wp:positionV relativeFrom="paragraph">
                <wp:posOffset>76200</wp:posOffset>
              </wp:positionV>
              <wp:extent cx="7429500" cy="693420"/>
              <wp:effectExtent l="0" t="0" r="0" b="0"/>
              <wp:wrapNone/>
              <wp:docPr id="4" name="矩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0" cy="693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1B427" id="矩形 4" o:spid="_x0000_s1026" style="position:absolute;left:0;text-align:left;margin-left:-60.65pt;margin-top:6pt;width:585pt;height:54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" stroked="f"/>
          </w:pict>
        </mc:Fallback>
      </mc:AlternateContent>
    </w:r>
    <w:r>
      <w:rPr>
        <w:rFonts w:ascii="Calibri" w:eastAsia="宋体" w:hAnsi="Calibr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left:0;text-align:left;margin-left:-64.4pt;margin-top:274.3pt;width:582.35pt;height:97.05pt;rotation:315;z-index:-251658240;mso-position-horizontal-relative:margin;mso-position-vertical-relative:margin" o:allowincell="f" fillcolor="silver" stroked="f">
          <v:fill opacity=".5"/>
          <v:textpath style="font-family:&quot;宋体&quot;;font-size:8pt" trim="t" string="www.zxls.com"/>
          <w10:wrap anchorx="margin" anchory="margin"/>
        </v:shape>
      </w:pict>
    </w:r>
    <w:r>
      <w:rPr>
        <w:rFonts w:ascii="黑体" w:eastAsia="黑体" w:hAnsi="Gungsuh"/>
        <w:noProof/>
        <w:sz w:val="21"/>
        <w:szCs w:val="21"/>
      </w:rPr>
      <w:drawing>
        <wp:inline distT="0" distB="0" distL="0" distR="0">
          <wp:extent cx="3270250" cy="576580"/>
          <wp:effectExtent l="0" t="0" r="6350" b="0"/>
          <wp:docPr id="3" name="图片 3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图片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25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778" w:rsidRDefault="002407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118C2"/>
    <w:multiLevelType w:val="singleLevel"/>
    <w:tmpl w:val="684118C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6"/>
  <w:embedSystemFont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YzUyYmUxY2FhMmFiMWQ0YTU3MjAzY2QwMTUzOTAifQ=="/>
    <w:docVar w:name="ksoschemedata" w:val="82c927f5-79e6-4368-a222-7ed89b465899"/>
  </w:docVars>
  <w:rsids>
    <w:rsidRoot w:val="1A4075A5"/>
    <w:rsid w:val="00240778"/>
    <w:rsid w:val="003C4A84"/>
    <w:rsid w:val="013071AA"/>
    <w:rsid w:val="01B85889"/>
    <w:rsid w:val="02900CBF"/>
    <w:rsid w:val="04D56E5D"/>
    <w:rsid w:val="0766304F"/>
    <w:rsid w:val="07B2629E"/>
    <w:rsid w:val="08FD1440"/>
    <w:rsid w:val="0CB43078"/>
    <w:rsid w:val="0D460187"/>
    <w:rsid w:val="0EB50D66"/>
    <w:rsid w:val="0EEC47D6"/>
    <w:rsid w:val="0F0942D3"/>
    <w:rsid w:val="0FB4725D"/>
    <w:rsid w:val="104242F6"/>
    <w:rsid w:val="12517EF3"/>
    <w:rsid w:val="128679E9"/>
    <w:rsid w:val="153E1E76"/>
    <w:rsid w:val="1697444B"/>
    <w:rsid w:val="16E56387"/>
    <w:rsid w:val="17ED2AF0"/>
    <w:rsid w:val="185814D7"/>
    <w:rsid w:val="18DE7CBC"/>
    <w:rsid w:val="1A4075A5"/>
    <w:rsid w:val="1B2D73B8"/>
    <w:rsid w:val="1BD17F27"/>
    <w:rsid w:val="1CD64E0A"/>
    <w:rsid w:val="1DD31FB1"/>
    <w:rsid w:val="1E0565AE"/>
    <w:rsid w:val="1E5E7FF8"/>
    <w:rsid w:val="21B422FD"/>
    <w:rsid w:val="230B3458"/>
    <w:rsid w:val="23171D2E"/>
    <w:rsid w:val="23B720F8"/>
    <w:rsid w:val="23C61052"/>
    <w:rsid w:val="24211873"/>
    <w:rsid w:val="261B741D"/>
    <w:rsid w:val="276A3C77"/>
    <w:rsid w:val="28725133"/>
    <w:rsid w:val="295C6238"/>
    <w:rsid w:val="29A22F02"/>
    <w:rsid w:val="2A4917DD"/>
    <w:rsid w:val="2AB761FA"/>
    <w:rsid w:val="2B035C23"/>
    <w:rsid w:val="2C674A22"/>
    <w:rsid w:val="2D6940E1"/>
    <w:rsid w:val="2D91509C"/>
    <w:rsid w:val="2E4E3659"/>
    <w:rsid w:val="2FEB4FB6"/>
    <w:rsid w:val="304271ED"/>
    <w:rsid w:val="30662EDC"/>
    <w:rsid w:val="308C725A"/>
    <w:rsid w:val="30922B28"/>
    <w:rsid w:val="340F73E6"/>
    <w:rsid w:val="36AE738B"/>
    <w:rsid w:val="38DE5D54"/>
    <w:rsid w:val="38E2331B"/>
    <w:rsid w:val="400145BA"/>
    <w:rsid w:val="40FC48BD"/>
    <w:rsid w:val="42AE24C0"/>
    <w:rsid w:val="43423D7E"/>
    <w:rsid w:val="44274464"/>
    <w:rsid w:val="45997458"/>
    <w:rsid w:val="4BAD7547"/>
    <w:rsid w:val="4C36225F"/>
    <w:rsid w:val="4FBD1F95"/>
    <w:rsid w:val="514E2A8F"/>
    <w:rsid w:val="531B0DA7"/>
    <w:rsid w:val="539F20DD"/>
    <w:rsid w:val="55006BAB"/>
    <w:rsid w:val="56DC0ECA"/>
    <w:rsid w:val="57CC7219"/>
    <w:rsid w:val="581A45BC"/>
    <w:rsid w:val="5BF62EC5"/>
    <w:rsid w:val="5C333128"/>
    <w:rsid w:val="5C6D7D3E"/>
    <w:rsid w:val="5CE22412"/>
    <w:rsid w:val="5D755C5D"/>
    <w:rsid w:val="5E6737F7"/>
    <w:rsid w:val="5E734892"/>
    <w:rsid w:val="5E912F6A"/>
    <w:rsid w:val="60123C37"/>
    <w:rsid w:val="606418DF"/>
    <w:rsid w:val="60F17CF0"/>
    <w:rsid w:val="611063C8"/>
    <w:rsid w:val="612C2AD6"/>
    <w:rsid w:val="61511552"/>
    <w:rsid w:val="636B5B38"/>
    <w:rsid w:val="675B5F52"/>
    <w:rsid w:val="67F8672E"/>
    <w:rsid w:val="68475A82"/>
    <w:rsid w:val="684E423B"/>
    <w:rsid w:val="68AA5A83"/>
    <w:rsid w:val="69012A9A"/>
    <w:rsid w:val="695B6ED5"/>
    <w:rsid w:val="69C935B8"/>
    <w:rsid w:val="6A9F0071"/>
    <w:rsid w:val="6D8E2AD7"/>
    <w:rsid w:val="6EC145AA"/>
    <w:rsid w:val="6F854425"/>
    <w:rsid w:val="710E286D"/>
    <w:rsid w:val="721B3D4A"/>
    <w:rsid w:val="72A44AF6"/>
    <w:rsid w:val="73115687"/>
    <w:rsid w:val="741B70BF"/>
    <w:rsid w:val="74A20EEA"/>
    <w:rsid w:val="74D03327"/>
    <w:rsid w:val="759516D3"/>
    <w:rsid w:val="76021457"/>
    <w:rsid w:val="76A21419"/>
    <w:rsid w:val="76C43FC6"/>
    <w:rsid w:val="77447800"/>
    <w:rsid w:val="7B0453D2"/>
    <w:rsid w:val="7BC9569A"/>
    <w:rsid w:val="7BE55C9F"/>
    <w:rsid w:val="7DB303AF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B17D6BD-C23A-4E4F-BDDA-8E16104A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Pr>
      <w:i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character" w:customStyle="1" w:styleId="Char">
    <w:name w:val="页脚 Char"/>
    <w:basedOn w:val="a0"/>
    <w:link w:val="a3"/>
    <w:uiPriority w:val="99"/>
    <w:rsid w:val="00240778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页眉 Char"/>
    <w:basedOn w:val="a0"/>
    <w:link w:val="a4"/>
    <w:rsid w:val="00240778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1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kpfs.xet.tech/s/2nAuc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xl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3252</Words>
  <Characters>266</Characters>
  <Application>Microsoft Office Word</Application>
  <DocSecurity>0</DocSecurity>
  <Lines>2</Lines>
  <Paragraphs>7</Paragraphs>
  <ScaleCrop>false</ScaleCrop>
  <Company>cc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printer</cp:lastModifiedBy>
  <cp:revision>2</cp:revision>
  <dcterms:created xsi:type="dcterms:W3CDTF">2023-08-24T15:39:00Z</dcterms:created>
  <dcterms:modified xsi:type="dcterms:W3CDTF">2023-10-10T16:41:00Z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7EFF7AC3F3814528A018C7265FF07A0B_11</vt:lpwstr>
  </property>
</Properties>
</file>