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bCs/>
          <w:sz w:val="30"/>
          <w:szCs w:val="30"/>
          <w:lang w:eastAsia="zh-CN"/>
        </w:rPr>
      </w:pPr>
      <w:r>
        <w:rPr>
          <w:rFonts w:hint="eastAsia"/>
          <w:b/>
          <w:bCs/>
          <w:sz w:val="30"/>
          <w:szCs w:val="30"/>
          <w:lang w:eastAsia="zh-CN"/>
        </w:rPr>
        <w:t>运用</w:t>
      </w:r>
      <w:r>
        <w:rPr>
          <w:rFonts w:hint="eastAsia"/>
          <w:b/>
          <w:bCs/>
          <w:sz w:val="30"/>
          <w:szCs w:val="30"/>
        </w:rPr>
        <w:t>考古材料</w:t>
      </w:r>
      <w:r>
        <w:rPr>
          <w:rFonts w:hint="eastAsia"/>
          <w:b/>
          <w:bCs/>
          <w:sz w:val="30"/>
          <w:szCs w:val="30"/>
          <w:lang w:eastAsia="zh-CN"/>
        </w:rPr>
        <w:t>解读早期</w:t>
      </w:r>
      <w:r>
        <w:rPr>
          <w:rFonts w:hint="eastAsia"/>
          <w:b/>
          <w:bCs/>
          <w:sz w:val="30"/>
          <w:szCs w:val="30"/>
        </w:rPr>
        <w:t>中华文明</w:t>
      </w:r>
      <w:r>
        <w:rPr>
          <w:rFonts w:hint="eastAsia"/>
          <w:b/>
          <w:bCs/>
          <w:sz w:val="30"/>
          <w:szCs w:val="30"/>
          <w:lang w:eastAsia="zh-CN"/>
        </w:rPr>
        <w:t>史</w:t>
      </w:r>
    </w:p>
    <w:p>
      <w:pPr>
        <w:spacing w:line="360" w:lineRule="auto"/>
        <w:jc w:val="center"/>
        <w:rPr>
          <w:rFonts w:ascii="楷体" w:hAnsi="楷体" w:eastAsia="楷体"/>
          <w:sz w:val="24"/>
        </w:rPr>
      </w:pPr>
      <w:r>
        <w:rPr>
          <w:rFonts w:hint="eastAsia" w:ascii="楷体" w:hAnsi="楷体" w:eastAsia="楷体"/>
          <w:sz w:val="24"/>
        </w:rPr>
        <w:t>卢晓华</w:t>
      </w:r>
    </w:p>
    <w:p>
      <w:pPr>
        <w:spacing w:line="360" w:lineRule="auto"/>
        <w:jc w:val="center"/>
        <w:rPr>
          <w:rFonts w:ascii="楷体" w:hAnsi="楷体" w:eastAsia="楷体"/>
          <w:sz w:val="24"/>
        </w:rPr>
      </w:pPr>
      <w:r>
        <w:rPr>
          <w:rFonts w:hint="eastAsia" w:ascii="楷体" w:hAnsi="楷体" w:eastAsia="楷体"/>
          <w:sz w:val="24"/>
        </w:rPr>
        <w:t>（平湖市当湖高级中学，浙江</w:t>
      </w:r>
      <w:r>
        <w:rPr>
          <w:rFonts w:ascii="楷体" w:hAnsi="楷体" w:eastAsia="楷体"/>
          <w:sz w:val="24"/>
        </w:rPr>
        <w:t xml:space="preserve"> </w:t>
      </w:r>
      <w:r>
        <w:rPr>
          <w:rFonts w:hint="eastAsia" w:ascii="楷体" w:hAnsi="楷体" w:eastAsia="楷体"/>
          <w:sz w:val="24"/>
        </w:rPr>
        <w:t>平湖</w:t>
      </w:r>
      <w:r>
        <w:rPr>
          <w:rFonts w:ascii="楷体" w:hAnsi="楷体" w:eastAsia="楷体"/>
          <w:sz w:val="24"/>
        </w:rPr>
        <w:t xml:space="preserve"> 314200</w:t>
      </w:r>
      <w:r>
        <w:rPr>
          <w:rFonts w:hint="eastAsia" w:ascii="楷体" w:hAnsi="楷体" w:eastAsia="楷体"/>
          <w:sz w:val="24"/>
        </w:rPr>
        <w:t>）</w:t>
      </w:r>
    </w:p>
    <w:p>
      <w:pPr>
        <w:spacing w:line="360" w:lineRule="auto"/>
        <w:jc w:val="center"/>
        <w:rPr>
          <w:rFonts w:hint="default" w:ascii="楷体" w:hAnsi="楷体" w:eastAsia="楷体"/>
          <w:color w:val="FF0000"/>
          <w:sz w:val="24"/>
          <w:lang w:val="en-US" w:eastAsia="zh-CN"/>
        </w:rPr>
      </w:pPr>
      <w:r>
        <w:rPr>
          <w:rFonts w:hint="eastAsia" w:ascii="楷体" w:hAnsi="楷体" w:eastAsia="楷体"/>
          <w:color w:val="FF0000"/>
          <w:sz w:val="24"/>
          <w:lang w:eastAsia="zh-CN"/>
        </w:rPr>
        <w:t>《中学历史教学》</w:t>
      </w:r>
      <w:r>
        <w:rPr>
          <w:rFonts w:hint="eastAsia" w:ascii="楷体" w:hAnsi="楷体" w:eastAsia="楷体"/>
          <w:color w:val="FF0000"/>
          <w:sz w:val="24"/>
          <w:lang w:val="en-US" w:eastAsia="zh-CN"/>
        </w:rPr>
        <w:t>2022年第 3期发表</w:t>
      </w:r>
    </w:p>
    <w:p>
      <w:pPr>
        <w:spacing w:line="360" w:lineRule="auto"/>
        <w:rPr>
          <w:b/>
          <w:bCs/>
        </w:rPr>
      </w:pPr>
    </w:p>
    <w:p>
      <w:pPr>
        <w:spacing w:line="360" w:lineRule="auto"/>
        <w:ind w:firstLine="420" w:firstLineChars="200"/>
      </w:pPr>
      <w:r>
        <w:rPr>
          <w:rFonts w:hint="eastAsia"/>
          <w:bCs/>
        </w:rPr>
        <w:t>考古学是主要根据古代人类活动所遗留下来的实物遗存研究当时人们的生活及其社会的状况，并进而解析人类文化与社会发展的历史过程，探索其发展变化的背景、原因和规律的一门科学。</w:t>
      </w:r>
      <w:r>
        <w:rPr>
          <w:rStyle w:val="6"/>
          <w:bCs/>
        </w:rPr>
        <w:endnoteReference w:id="0" w:customMarkFollows="1"/>
        <w:t>[1]</w:t>
      </w:r>
      <w:r>
        <w:rPr>
          <w:rFonts w:hint="eastAsia"/>
          <w:bCs/>
        </w:rPr>
        <w:t>在文献匮乏的史前史研究中，考古材料对于建构历史框架发挥了主要作用。</w:t>
      </w:r>
      <w:r>
        <w:rPr>
          <w:rFonts w:hint="eastAsia"/>
        </w:rPr>
        <w:t>遗物和遗迹作为第一手资源具有极高的史料价值。另外，考古出土的非文字资料往往涉及各种超过了已知文字材料和传世文献的问题</w:t>
      </w:r>
      <w:r>
        <w:t>——</w:t>
      </w:r>
      <w:r>
        <w:rPr>
          <w:rFonts w:hint="eastAsia"/>
        </w:rPr>
        <w:t>比方说，环境、适应、生存、定居、自然资源的开发、工艺、技术，以及贸易</w:t>
      </w:r>
      <w:r>
        <w:t>——</w:t>
      </w:r>
      <w:r>
        <w:rPr>
          <w:rFonts w:hint="eastAsia"/>
        </w:rPr>
        <w:t>解放了的考古学将会大幅拓宽历史研究的范围。</w:t>
      </w:r>
      <w:r>
        <w:rPr>
          <w:rStyle w:val="6"/>
        </w:rPr>
        <w:endnoteReference w:id="1" w:customMarkFollows="1"/>
        <w:t>[2]</w:t>
      </w:r>
      <w:r>
        <w:rPr>
          <w:rFonts w:hint="eastAsia"/>
        </w:rPr>
        <w:t>所以，考古材料引入教学还能拓展学生的视野，特别是在</w:t>
      </w:r>
      <w:r>
        <w:rPr>
          <w:rFonts w:hint="eastAsia"/>
          <w:szCs w:val="22"/>
        </w:rPr>
        <w:t>文献与考古材料之间存在冲突的时候，能为探究历史提供新的思考维度。人教版</w:t>
      </w:r>
      <w:r>
        <w:rPr>
          <w:rFonts w:hint="eastAsia"/>
        </w:rPr>
        <w:t>“中华文明的起源与早期国家”一课涉及大量史前史和夏商周早期中国史内容，笔者以“何谓早期中国？”之问为课魂，尝试以考古材料论证，帮助学生理解特定时空下“中国”之内涵。</w:t>
      </w:r>
    </w:p>
    <w:p>
      <w:pPr>
        <w:numPr>
          <w:ilvl w:val="0"/>
          <w:numId w:val="1"/>
        </w:numPr>
        <w:spacing w:line="360" w:lineRule="auto"/>
        <w:jc w:val="center"/>
        <w:rPr>
          <w:b/>
          <w:bCs/>
        </w:rPr>
      </w:pPr>
      <w:r>
        <w:rPr>
          <w:rFonts w:hint="eastAsia"/>
          <w:b/>
          <w:bCs/>
        </w:rPr>
        <w:t>运用考古材料还原历史场景</w:t>
      </w:r>
    </w:p>
    <w:p>
      <w:pPr>
        <w:spacing w:line="360" w:lineRule="auto"/>
        <w:ind w:firstLine="420" w:firstLineChars="200"/>
      </w:pPr>
      <w:r>
        <w:rPr>
          <w:rFonts w:hint="eastAsia"/>
          <w:szCs w:val="22"/>
        </w:rPr>
        <w:t>人教版《中外历史纲要》是以“纲要”形式进行历史叙述的，</w:t>
      </w:r>
      <w:r>
        <w:rPr>
          <w:rFonts w:hint="eastAsia"/>
        </w:rPr>
        <w:t>抽去了许多历史现场的丰富信息，</w:t>
      </w:r>
      <w:r>
        <w:rPr>
          <w:rFonts w:hint="eastAsia"/>
          <w:szCs w:val="22"/>
        </w:rPr>
        <w:t>简洁抽象，严谨有余而生动不足，故</w:t>
      </w:r>
      <w:r>
        <w:rPr>
          <w:rFonts w:hint="eastAsia"/>
        </w:rPr>
        <w:t>学生难以理解。比如原始人为什么要从事渔猎和采集，过群居生活？学会用火有什么意义？考古材料的引入能帮助学生在头脑中拼凑出一幅相对完整的原始人生活图景，鲜活的画面感有利于激发学习的兴趣。</w:t>
      </w:r>
    </w:p>
    <w:p>
      <w:pPr>
        <w:spacing w:line="360" w:lineRule="auto"/>
        <w:ind w:firstLine="422" w:firstLineChars="200"/>
        <w:rPr>
          <w:rFonts w:ascii="楷体" w:hAnsi="楷体" w:eastAsia="楷体"/>
        </w:rPr>
      </w:pPr>
      <w:r>
        <w:rPr>
          <w:rFonts w:hint="eastAsia" w:ascii="楷体" w:hAnsi="楷体" w:eastAsia="楷体"/>
          <w:b/>
        </w:rPr>
        <w:t>材料</w:t>
      </w:r>
      <w:r>
        <w:rPr>
          <w:rFonts w:ascii="楷体" w:hAnsi="楷体" w:eastAsia="楷体"/>
          <w:b/>
        </w:rPr>
        <w:t>1</w:t>
      </w:r>
      <w:r>
        <w:rPr>
          <w:rFonts w:hint="eastAsia" w:ascii="楷体" w:hAnsi="楷体" w:eastAsia="楷体"/>
          <w:b/>
        </w:rPr>
        <w:t>：</w:t>
      </w:r>
      <w:r>
        <w:rPr>
          <w:rFonts w:hint="eastAsia" w:ascii="楷体" w:hAnsi="楷体" w:eastAsia="楷体"/>
        </w:rPr>
        <w:t>由龙骨山洞里取出四十多个北京人的遗骨，上十万件的已制成或未制成的劳动工具</w:t>
      </w:r>
      <w:r>
        <w:rPr>
          <w:rFonts w:ascii="楷体" w:hAnsi="楷体" w:eastAsia="楷体"/>
        </w:rPr>
        <w:t>——</w:t>
      </w:r>
      <w:r>
        <w:rPr>
          <w:rFonts w:hint="eastAsia" w:ascii="楷体" w:hAnsi="楷体" w:eastAsia="楷体"/>
        </w:rPr>
        <w:t>石器，成批的骨器、角器，上百种的野兽化石，此外还有用火的遗迹。在灰烬层里，发现了除了鼠的骨骼之外，还有许多烧过的破碎兽骨。北京人头骨的特征是前额低平，眉骨粗大，脑壳很厚，脑子大约现代人平均数的</w:t>
      </w:r>
      <w:r>
        <w:rPr>
          <w:rFonts w:ascii="楷体" w:hAnsi="楷体" w:eastAsia="楷体"/>
        </w:rPr>
        <w:t>80%</w:t>
      </w:r>
      <w:r>
        <w:rPr>
          <w:rFonts w:hint="eastAsia" w:ascii="楷体" w:hAnsi="楷体" w:eastAsia="楷体"/>
        </w:rPr>
        <w:t>，但比猿大得多。北京人的肢骨基本上已具有现代人的形状了。他们的寿命短促，人类学家根据发现的遗骨曾统计，死于约十四岁以下的儿童占</w:t>
      </w:r>
      <w:r>
        <w:rPr>
          <w:rFonts w:ascii="楷体" w:hAnsi="楷体" w:eastAsia="楷体"/>
        </w:rPr>
        <w:t>39.5%</w:t>
      </w:r>
      <w:r>
        <w:rPr>
          <w:rFonts w:hint="eastAsia" w:ascii="楷体" w:hAnsi="楷体" w:eastAsia="楷体"/>
        </w:rPr>
        <w:t>；死于约三十岁以下的占</w:t>
      </w:r>
      <w:r>
        <w:rPr>
          <w:rFonts w:ascii="楷体" w:hAnsi="楷体" w:eastAsia="楷体"/>
        </w:rPr>
        <w:t>7%</w:t>
      </w:r>
      <w:r>
        <w:rPr>
          <w:rFonts w:hint="eastAsia" w:ascii="楷体" w:hAnsi="楷体" w:eastAsia="楷体"/>
        </w:rPr>
        <w:t>；死于四十至五十岁之间的占</w:t>
      </w:r>
      <w:r>
        <w:rPr>
          <w:rFonts w:ascii="楷体" w:hAnsi="楷体" w:eastAsia="楷体"/>
        </w:rPr>
        <w:t>7.9%</w:t>
      </w:r>
      <w:r>
        <w:rPr>
          <w:rFonts w:hint="eastAsia" w:ascii="楷体" w:hAnsi="楷体" w:eastAsia="楷体"/>
        </w:rPr>
        <w:t>；死于五十至六十岁之间的占</w:t>
      </w:r>
      <w:r>
        <w:rPr>
          <w:rFonts w:ascii="楷体" w:hAnsi="楷体" w:eastAsia="楷体"/>
        </w:rPr>
        <w:t>2.6%</w:t>
      </w:r>
      <w:r>
        <w:rPr>
          <w:rFonts w:hint="eastAsia" w:ascii="楷体" w:hAnsi="楷体" w:eastAsia="楷体"/>
        </w:rPr>
        <w:t>；寿命长短不能判定的占</w:t>
      </w:r>
      <w:r>
        <w:rPr>
          <w:rFonts w:ascii="楷体" w:hAnsi="楷体" w:eastAsia="楷体"/>
        </w:rPr>
        <w:t>43%</w:t>
      </w:r>
      <w:r>
        <w:rPr>
          <w:rFonts w:hint="eastAsia" w:ascii="楷体" w:hAnsi="楷体" w:eastAsia="楷体"/>
        </w:rPr>
        <w:t>。</w:t>
      </w:r>
    </w:p>
    <w:p>
      <w:pPr>
        <w:spacing w:line="360" w:lineRule="auto"/>
        <w:jc w:val="right"/>
      </w:pPr>
      <w:r>
        <w:rPr>
          <w:rFonts w:ascii="楷体" w:hAnsi="楷体" w:eastAsia="楷体"/>
        </w:rPr>
        <w:t>——</w:t>
      </w:r>
      <w:r>
        <w:rPr>
          <w:rFonts w:hint="eastAsia" w:ascii="楷体" w:hAnsi="楷体" w:eastAsia="楷体"/>
        </w:rPr>
        <w:t>黄慰文、贾兰坡等：《中国历史的童年（合订本）》</w:t>
      </w:r>
    </w:p>
    <w:p>
      <w:pPr>
        <w:spacing w:line="360" w:lineRule="auto"/>
        <w:ind w:firstLine="420" w:firstLineChars="200"/>
      </w:pPr>
      <w:r>
        <w:rPr>
          <w:rFonts w:hint="eastAsia"/>
        </w:rPr>
        <w:t>设问：依据考古材料开展合理想象，以“北京人的一天”为主题写一篇历史记述文。</w:t>
      </w:r>
    </w:p>
    <w:p>
      <w:pPr>
        <w:spacing w:line="360" w:lineRule="auto"/>
      </w:pPr>
      <w:r>
        <w:rPr>
          <w:rFonts w:hint="eastAsia"/>
        </w:rPr>
        <w:t>要写好这篇记叙文是不容易的，需要想象力和把考古资料联系起来的建构能力。以下是考古学家贾兰坡对北京人生活的一段描写：</w:t>
      </w:r>
    </w:p>
    <w:p>
      <w:pPr>
        <w:spacing w:line="360" w:lineRule="auto"/>
        <w:ind w:firstLine="420" w:firstLineChars="200"/>
      </w:pPr>
      <w:r>
        <w:rPr>
          <w:rFonts w:hint="eastAsia" w:ascii="楷体" w:hAnsi="楷体" w:eastAsia="楷体"/>
        </w:rPr>
        <w:t>“早晨，秋风送爽，一群北京人由岩洞里走了出来。他们的相貌是怪模怪样的。前额很低，发际向前，眉骨粗大，嘴巴前突，鼻子扁平，像人又有些似猿。他们直立行走，走出洞口，围拢在一堆火的旁边。洞口附近的地面遍地堆积着乱柴和吃剩下的兽骨。一条小河经过他们居住的洞口，孩子们一趟一趟地运送着由河滩上选来的石头；大人们不停手地把石头敲开，制造他们所需的各种工具。在龙骨山东面约二公里的紧靠平原的山坡上，另一群北京人正在采集食物。其中大多数是妇女，也有较大的孩子。大人们经常习惯地弯下腰去捡拾，孩子们一遇到树上有野果，就飞快地爬到树上去摘取。年岁大一些的人，还经常把采集的经验传给孩子们，教给他们辨识各种植物的方法。手中的骨棒或木棒用处真不小，不仅可以用它来挖取块根，还经常用它扒鼠洞，扒出鼠的“冬藏”</w:t>
      </w:r>
      <w:r>
        <w:rPr>
          <w:rFonts w:ascii="楷体" w:hAnsi="楷体" w:eastAsia="楷体"/>
        </w:rPr>
        <w:t>——</w:t>
      </w:r>
      <w:r>
        <w:rPr>
          <w:rFonts w:hint="eastAsia" w:ascii="楷体" w:hAnsi="楷体" w:eastAsia="楷体"/>
        </w:rPr>
        <w:t>干果之类的东西。日落西山，一群一群北京人都先后返回岩洞。一只肿骨鹿被抬上山坡。大家聚拢烧肉吃了。他们很习惯地先把易嚼肥嫩的肉送给老人和小孩，然后自己才肯吃。夜深了，大家都走进洞里睡觉。他们挑选了一块较干燥的地方躺下来，有时还在身下垫些干草或兽皮。”</w:t>
      </w:r>
      <w:r>
        <w:rPr>
          <w:rStyle w:val="6"/>
        </w:rPr>
        <w:endnoteReference w:id="2" w:customMarkFollows="1"/>
        <w:t>[3]</w:t>
      </w:r>
    </w:p>
    <w:p>
      <w:pPr>
        <w:spacing w:line="360" w:lineRule="auto"/>
        <w:ind w:firstLine="420" w:firstLineChars="200"/>
      </w:pPr>
      <w:r>
        <w:rPr>
          <w:rFonts w:hint="eastAsia"/>
        </w:rPr>
        <w:t>历史是需要想象的，因为“</w:t>
      </w:r>
      <w:r>
        <w:rPr>
          <w:rFonts w:hint="eastAsia"/>
          <w:szCs w:val="22"/>
        </w:rPr>
        <w:t>古代史的材料绝大部分零星片段，如何在片段之间发现和建立“意义之网”，有时靠运气，更多的靠想象。</w:t>
      </w:r>
      <w:r>
        <w:rPr>
          <w:rStyle w:val="6"/>
          <w:szCs w:val="22"/>
        </w:rPr>
        <w:endnoteReference w:id="3" w:customMarkFollows="1"/>
        <w:t>[4]</w:t>
      </w:r>
      <w:r>
        <w:rPr>
          <w:rFonts w:hint="eastAsia" w:ascii="宋体" w:hAnsi="宋体"/>
        </w:rPr>
        <w:t>可以说，没有还原就没有历史。</w:t>
      </w:r>
      <w:r>
        <w:rPr>
          <w:rFonts w:hint="eastAsia"/>
        </w:rPr>
        <w:t>根据考古材料，我们不难想象北京人的生活是十分艰苦的。这不仅由他们所用的十分简陋的劳动工具可以证实，同时由他们寿命的短促也可以说明。因为工具简陋，因此北京人不可能经常获得巨兽。所以在当时的条件下，采集是北京人生活资料的主要来源。</w:t>
      </w:r>
      <w:r>
        <w:rPr>
          <w:rFonts w:hint="eastAsia"/>
          <w:szCs w:val="21"/>
        </w:rPr>
        <w:t>值得注意的是，北京人、元谋人这些考古发现，绝大部分不在中原地区。这也是由于生产工具极其简陋，低下的生产力决定了谋求物质资料的方式和聚居地点。那时侯，中原有黄河、洛、伊诸水，河谷地带经常遭到洪水袭击，这里显然不能成为猿人聚居之地。</w:t>
      </w:r>
      <w:r>
        <w:rPr>
          <w:rFonts w:hint="eastAsia"/>
        </w:rPr>
        <w:t>在理解的基础上，教师可深入追问：北京人的考古发现印证了唯物史观哪些观点？这样“劳动创造了人”、“劳动创造世界”的观点将从学生头脑中喷薄而出。理论不是靠灌输而是因为具有巨大的解释力量学生才愿意掌握。</w:t>
      </w:r>
    </w:p>
    <w:p>
      <w:pPr>
        <w:spacing w:line="360" w:lineRule="auto"/>
        <w:jc w:val="center"/>
        <w:rPr>
          <w:b/>
        </w:rPr>
      </w:pPr>
      <w:r>
        <w:rPr>
          <w:rFonts w:hint="eastAsia"/>
          <w:b/>
        </w:rPr>
        <w:t>二．运用考古材料比较阶段特征</w:t>
      </w:r>
    </w:p>
    <w:p>
      <w:pPr>
        <w:spacing w:line="360" w:lineRule="auto"/>
        <w:ind w:firstLine="420" w:firstLineChars="200"/>
        <w:rPr>
          <w:rFonts w:ascii="宋体"/>
        </w:rPr>
      </w:pPr>
      <w:r>
        <w:rPr>
          <w:rFonts w:hint="eastAsia"/>
        </w:rPr>
        <w:t>“陶寺文化和二里头文化哪个先出现？”乍一看，这个问题没难度。看一下教材怎么说就行。但是</w:t>
      </w:r>
      <w:r>
        <w:rPr>
          <w:rFonts w:hint="eastAsia" w:ascii="宋体" w:hAnsi="宋体"/>
        </w:rPr>
        <w:t>从历史学科核心素养培养来看，这需要基于考古证据的历史阶段特征比较。</w:t>
      </w:r>
    </w:p>
    <w:p>
      <w:pPr>
        <w:spacing w:line="360" w:lineRule="auto"/>
        <w:ind w:firstLine="422" w:firstLineChars="200"/>
        <w:rPr>
          <w:rFonts w:ascii="楷体" w:hAnsi="楷体" w:eastAsia="楷体"/>
        </w:rPr>
      </w:pPr>
      <w:r>
        <w:rPr>
          <w:rFonts w:hint="eastAsia" w:ascii="楷体" w:hAnsi="楷体" w:eastAsia="楷体"/>
          <w:b/>
        </w:rPr>
        <w:t>材料</w:t>
      </w:r>
      <w:r>
        <w:rPr>
          <w:rFonts w:ascii="楷体" w:hAnsi="楷体" w:eastAsia="楷体"/>
          <w:b/>
        </w:rPr>
        <w:t>2</w:t>
      </w:r>
      <w:r>
        <w:rPr>
          <w:rFonts w:hint="eastAsia" w:ascii="楷体" w:hAnsi="楷体" w:eastAsia="楷体"/>
          <w:b/>
        </w:rPr>
        <w:t>：</w:t>
      </w:r>
      <w:r>
        <w:rPr>
          <w:rFonts w:hint="eastAsia" w:ascii="楷体" w:hAnsi="楷体" w:eastAsia="楷体"/>
        </w:rPr>
        <w:t>陶寺遗址有早、中、晚三个城址。早期城址南北长约</w:t>
      </w:r>
      <w:r>
        <w:rPr>
          <w:rFonts w:ascii="楷体" w:hAnsi="楷体" w:eastAsia="楷体"/>
        </w:rPr>
        <w:t>1000</w:t>
      </w:r>
      <w:r>
        <w:rPr>
          <w:rFonts w:hint="eastAsia" w:ascii="楷体" w:hAnsi="楷体" w:eastAsia="楷体"/>
        </w:rPr>
        <w:t>米，东西宽约</w:t>
      </w:r>
      <w:r>
        <w:rPr>
          <w:rFonts w:ascii="楷体" w:hAnsi="楷体" w:eastAsia="楷体"/>
        </w:rPr>
        <w:t>560</w:t>
      </w:r>
      <w:r>
        <w:rPr>
          <w:rFonts w:hint="eastAsia" w:ascii="楷体" w:hAnsi="楷体" w:eastAsia="楷体"/>
        </w:rPr>
        <w:t>米，城垣周长约</w:t>
      </w:r>
      <w:r>
        <w:rPr>
          <w:rFonts w:ascii="楷体" w:hAnsi="楷体" w:eastAsia="楷体"/>
        </w:rPr>
        <w:t>3600</w:t>
      </w:r>
      <w:r>
        <w:rPr>
          <w:rFonts w:hint="eastAsia" w:ascii="楷体" w:hAnsi="楷体" w:eastAsia="楷体"/>
        </w:rPr>
        <w:t>米，总面积为</w:t>
      </w:r>
      <w:r>
        <w:rPr>
          <w:rFonts w:ascii="楷体" w:hAnsi="楷体" w:eastAsia="楷体"/>
        </w:rPr>
        <w:t>56</w:t>
      </w:r>
      <w:r>
        <w:rPr>
          <w:rFonts w:hint="eastAsia" w:ascii="楷体" w:hAnsi="楷体" w:eastAsia="楷体"/>
        </w:rPr>
        <w:t>万平方米。遗址内有宫城、外城，有平民居住区和仓储区，还有祭地的礼制建筑。宫城东南侧是早期王族墓地，发掘王墓</w:t>
      </w:r>
      <w:r>
        <w:rPr>
          <w:rFonts w:ascii="楷体" w:hAnsi="楷体" w:eastAsia="楷体"/>
        </w:rPr>
        <w:t>6</w:t>
      </w:r>
      <w:r>
        <w:rPr>
          <w:rFonts w:hint="eastAsia" w:ascii="楷体" w:hAnsi="楷体" w:eastAsia="楷体"/>
        </w:rPr>
        <w:t>座，使用木棺，每座随葬品均在百件以上。大贵族墓数十座，也使用木棺，随葬品几件至几十件不等。其余近千座小墓大多没有木质葬具和随葬品。陶寺中期王墓是陶寺遗址迄今考古发掘出的最大墓葬，尽管在陶寺晚期遭到捣毁，仍残留随葬品近百件，包括玉器、彩绘陶器、漆器、骨器、</w:t>
      </w:r>
      <w:r>
        <w:rPr>
          <w:rFonts w:ascii="楷体" w:hAnsi="楷体" w:eastAsia="楷体"/>
        </w:rPr>
        <w:t>20</w:t>
      </w:r>
      <w:r>
        <w:rPr>
          <w:rFonts w:hint="eastAsia" w:ascii="楷体" w:hAnsi="楷体" w:eastAsia="楷体"/>
        </w:rPr>
        <w:t>片半扇整猪等。考古人员解读其中的</w:t>
      </w:r>
      <w:r>
        <w:rPr>
          <w:rFonts w:ascii="楷体" w:hAnsi="楷体" w:eastAsia="楷体"/>
        </w:rPr>
        <w:t>6</w:t>
      </w:r>
      <w:r>
        <w:rPr>
          <w:rFonts w:hint="eastAsia" w:ascii="楷体" w:hAnsi="楷体" w:eastAsia="楷体"/>
        </w:rPr>
        <w:t>柄玉石列钺，不仅象征王权和军权，而且与公猪下颌骨共同组成了表达修兵不战的“上政”治国理念。陶寺晚期宫城内遗址还出土了</w:t>
      </w:r>
      <w:r>
        <w:rPr>
          <w:rFonts w:ascii="楷体" w:hAnsi="楷体" w:eastAsia="楷体"/>
        </w:rPr>
        <w:t>3</w:t>
      </w:r>
      <w:r>
        <w:rPr>
          <w:rFonts w:hint="eastAsia" w:ascii="楷体" w:hAnsi="楷体" w:eastAsia="楷体"/>
        </w:rPr>
        <w:t>件写有朱书陶文的扁壶残片，虽然对它具体是什么字，专家解读不同，但这些字符与商周甲骨文和金文之间的明显传承源流关系得到了专家们的认可。陶寺晚期地层单位出土了铜铃、铜齿轮形器、铜环、铜盆口残片和铜蟾蜍片饰。这</w:t>
      </w:r>
      <w:r>
        <w:rPr>
          <w:rFonts w:ascii="楷体" w:hAnsi="楷体" w:eastAsia="楷体"/>
        </w:rPr>
        <w:t>5</w:t>
      </w:r>
      <w:r>
        <w:rPr>
          <w:rFonts w:hint="eastAsia" w:ascii="楷体" w:hAnsi="楷体" w:eastAsia="楷体"/>
        </w:rPr>
        <w:t>件铜器，均系红铜铸造的礼仪用器。</w:t>
      </w:r>
    </w:p>
    <w:p>
      <w:pPr>
        <w:spacing w:line="360" w:lineRule="auto"/>
        <w:jc w:val="right"/>
        <w:rPr>
          <w:rFonts w:ascii="宋体"/>
        </w:rPr>
      </w:pPr>
      <w:r>
        <w:rPr>
          <w:rFonts w:ascii="楷体" w:hAnsi="楷体" w:eastAsia="楷体"/>
        </w:rPr>
        <w:t>——</w:t>
      </w:r>
      <w:r>
        <w:rPr>
          <w:rFonts w:hint="eastAsia" w:ascii="楷体" w:hAnsi="楷体" w:eastAsia="楷体"/>
        </w:rPr>
        <w:t>摘编自李琳之：《元中国时代：公元前</w:t>
      </w:r>
      <w:r>
        <w:rPr>
          <w:rFonts w:ascii="楷体" w:hAnsi="楷体" w:eastAsia="楷体"/>
        </w:rPr>
        <w:t>2300—</w:t>
      </w:r>
      <w:r>
        <w:rPr>
          <w:rFonts w:hint="eastAsia" w:ascii="楷体" w:hAnsi="楷体" w:eastAsia="楷体"/>
        </w:rPr>
        <w:t>前</w:t>
      </w:r>
      <w:r>
        <w:rPr>
          <w:rFonts w:ascii="楷体" w:hAnsi="楷体" w:eastAsia="楷体"/>
        </w:rPr>
        <w:t>1800</w:t>
      </w:r>
      <w:r>
        <w:rPr>
          <w:rFonts w:hint="eastAsia" w:ascii="楷体" w:hAnsi="楷体" w:eastAsia="楷体"/>
        </w:rPr>
        <w:t>年华夏大地场景》</w:t>
      </w:r>
    </w:p>
    <w:p>
      <w:pPr>
        <w:spacing w:line="360" w:lineRule="auto"/>
        <w:ind w:firstLine="422" w:firstLineChars="200"/>
        <w:rPr>
          <w:rFonts w:ascii="楷体" w:hAnsi="楷体" w:eastAsia="楷体"/>
        </w:rPr>
      </w:pPr>
      <w:r>
        <w:rPr>
          <w:rFonts w:hint="eastAsia" w:ascii="楷体" w:hAnsi="楷体" w:eastAsia="楷体"/>
          <w:b/>
        </w:rPr>
        <w:t>材料</w:t>
      </w:r>
      <w:r>
        <w:rPr>
          <w:rFonts w:ascii="楷体" w:hAnsi="楷体" w:eastAsia="楷体"/>
          <w:b/>
        </w:rPr>
        <w:t>3</w:t>
      </w:r>
      <w:r>
        <w:rPr>
          <w:rFonts w:hint="eastAsia" w:ascii="楷体" w:hAnsi="楷体" w:eastAsia="楷体"/>
          <w:b/>
        </w:rPr>
        <w:t>：</w:t>
      </w:r>
      <w:r>
        <w:rPr>
          <w:rFonts w:hint="eastAsia" w:ascii="楷体" w:hAnsi="楷体" w:eastAsia="楷体"/>
        </w:rPr>
        <w:t>从考古发现看，在同时期各区系中，陶寺文化的发展水平最高，但它的覆盖面大致未超过临汾盆地的范围；它同周邻文化的关系，则表现为重吸纳而少放射。若同二里头文化比较，可明显看到陶寺文化的局限性，说明陶寺尚未形成像二里头那样的具全国意义的文化中心。</w:t>
      </w:r>
    </w:p>
    <w:p>
      <w:pPr>
        <w:spacing w:line="360" w:lineRule="auto"/>
        <w:jc w:val="right"/>
        <w:rPr>
          <w:rFonts w:ascii="宋体"/>
        </w:rPr>
      </w:pPr>
      <w:r>
        <w:rPr>
          <w:rFonts w:ascii="楷体" w:hAnsi="楷体" w:eastAsia="楷体"/>
        </w:rPr>
        <w:t>——</w:t>
      </w:r>
      <w:r>
        <w:rPr>
          <w:rFonts w:hint="eastAsia" w:ascii="楷体" w:hAnsi="楷体" w:eastAsia="楷体"/>
        </w:rPr>
        <w:t>高炜：《晋西南与中国古代文明的形成》</w:t>
      </w:r>
    </w:p>
    <w:p>
      <w:pPr>
        <w:spacing w:line="360" w:lineRule="auto"/>
        <w:ind w:firstLine="420" w:firstLineChars="200"/>
        <w:rPr>
          <w:rFonts w:ascii="宋体"/>
        </w:rPr>
      </w:pPr>
      <w:r>
        <w:rPr>
          <w:rFonts w:hint="eastAsia" w:ascii="宋体" w:hAnsi="宋体"/>
        </w:rPr>
        <w:t>设问：依据考古发掘的成果判断陶寺处于部落还是国家阶段？讨论：陶寺遗址发现所具有的学术价值。</w:t>
      </w:r>
    </w:p>
    <w:p>
      <w:pPr>
        <w:spacing w:line="360" w:lineRule="auto"/>
        <w:ind w:firstLine="420" w:firstLineChars="200"/>
      </w:pPr>
      <w:r>
        <w:rPr>
          <w:rFonts w:hint="eastAsia"/>
        </w:rPr>
        <w:t>根据发掘的成果来看，规模空前的城址、与之相匹配的王墓、世界最早的观象台、气势恢宏的宫殿、独立的仓储区、官方管理下的手工业区等。陶寺社会贫富分化悬殊，少数贵族大量聚敛财富，形成特权阶层，走到了邦国时代的边缘和方国时代。有许多专家学者提出，陶寺遗址就是帝尧都城所在，是最早的“中国”。陶寺遗址对复原中国新石器时代晚期的社会性质、国家产生的历史及探索夏文化，都具有重要的学术价值。对于探索中国古代文明的起源和尧舜时代的社会历史具有重要意义。</w:t>
      </w:r>
    </w:p>
    <w:p>
      <w:pPr>
        <w:spacing w:line="360" w:lineRule="auto"/>
        <w:ind w:firstLine="422" w:firstLineChars="200"/>
        <w:rPr>
          <w:rFonts w:ascii="楷体" w:hAnsi="楷体" w:eastAsia="楷体"/>
        </w:rPr>
      </w:pPr>
      <w:r>
        <w:rPr>
          <w:rFonts w:hint="eastAsia" w:ascii="楷体" w:hAnsi="楷体" w:eastAsia="楷体"/>
          <w:b/>
        </w:rPr>
        <w:t>材料</w:t>
      </w:r>
      <w:r>
        <w:rPr>
          <w:rFonts w:ascii="楷体" w:hAnsi="楷体" w:eastAsia="楷体"/>
          <w:b/>
        </w:rPr>
        <w:t>:4</w:t>
      </w:r>
      <w:r>
        <w:rPr>
          <w:rFonts w:hint="eastAsia" w:ascii="楷体" w:hAnsi="楷体" w:eastAsia="楷体"/>
          <w:b/>
        </w:rPr>
        <w:t>：</w:t>
      </w:r>
      <w:r>
        <w:rPr>
          <w:rFonts w:hint="eastAsia" w:ascii="楷体" w:hAnsi="楷体" w:eastAsia="楷体"/>
        </w:rPr>
        <w:t>二里头文化可分为四期。一期遗址总面积超过了</w:t>
      </w:r>
      <w:r>
        <w:rPr>
          <w:rFonts w:ascii="楷体" w:hAnsi="楷体" w:eastAsia="楷体"/>
        </w:rPr>
        <w:t>100</w:t>
      </w:r>
      <w:r>
        <w:rPr>
          <w:rFonts w:hint="eastAsia" w:ascii="楷体" w:hAnsi="楷体" w:eastAsia="楷体"/>
        </w:rPr>
        <w:t>万平方米，是为同时期伊洛平原最大的聚落中心，出土了大量属于特权阶层才能使用的高贵器物，如白陶、象牙、绿松石器、青铜器等。有陶器、骨器和小型青铜器等几种手工业作坊遗迹保存完好。二期遗址总面积超过了</w:t>
      </w:r>
      <w:r>
        <w:rPr>
          <w:rFonts w:ascii="楷体" w:hAnsi="楷体" w:eastAsia="楷体"/>
        </w:rPr>
        <w:t>300</w:t>
      </w:r>
      <w:r>
        <w:rPr>
          <w:rFonts w:hint="eastAsia" w:ascii="楷体" w:hAnsi="楷体" w:eastAsia="楷体"/>
        </w:rPr>
        <w:t>万平方米。遗址东南部发现布局复杂，结构类似于后世帝王宫殿的大型夯土建筑群。宫殿有院落，院内发掘出两组高级而又丰富的随葬品。其中一座出土了一具年龄大约在</w:t>
      </w:r>
      <w:r>
        <w:rPr>
          <w:rFonts w:ascii="楷体" w:hAnsi="楷体" w:eastAsia="楷体"/>
        </w:rPr>
        <w:t>30-35</w:t>
      </w:r>
      <w:r>
        <w:rPr>
          <w:rFonts w:hint="eastAsia" w:ascii="楷体" w:hAnsi="楷体" w:eastAsia="楷体"/>
        </w:rPr>
        <w:t>岁的男子骨架，骨架周围散布着青铜器、玉器、漆器、陶器和子安贝等。骨架上部还摆放着一条大约由</w:t>
      </w:r>
      <w:r>
        <w:rPr>
          <w:rFonts w:ascii="楷体" w:hAnsi="楷体" w:eastAsia="楷体"/>
        </w:rPr>
        <w:t>2000</w:t>
      </w:r>
      <w:r>
        <w:rPr>
          <w:rFonts w:hint="eastAsia" w:ascii="楷体" w:hAnsi="楷体" w:eastAsia="楷体"/>
        </w:rPr>
        <w:t>块绿松石和一些玉料制成的“龙”。遗址内手工业作坊区继续存在，但由夯土墙包围，作为独立区域存在于遗址内宫廷建筑附近。在所有出土的工具中，农具占有</w:t>
      </w:r>
      <w:r>
        <w:rPr>
          <w:rFonts w:ascii="楷体" w:hAnsi="楷体" w:eastAsia="楷体"/>
        </w:rPr>
        <w:t>42%</w:t>
      </w:r>
      <w:r>
        <w:rPr>
          <w:rFonts w:hint="eastAsia" w:ascii="楷体" w:hAnsi="楷体" w:eastAsia="楷体"/>
        </w:rPr>
        <w:t>的比例。二里头文化三期持续着第二期以来的繁荣。二里头文化四期，遗址规模和建筑布局一如既往，但墓葬中出土的青铜器数量、种类明显增多，质量也有了显著提高。箭镞数量比前几期增加了很多。</w:t>
      </w:r>
    </w:p>
    <w:p>
      <w:pPr>
        <w:spacing w:line="360" w:lineRule="auto"/>
        <w:ind w:firstLine="420" w:firstLineChars="200"/>
        <w:rPr>
          <w:rFonts w:ascii="楷体" w:hAnsi="楷体" w:eastAsia="楷体"/>
        </w:rPr>
      </w:pPr>
      <w:r>
        <w:rPr>
          <w:rFonts w:ascii="楷体" w:hAnsi="楷体" w:eastAsia="楷体"/>
        </w:rPr>
        <w:t>——</w:t>
      </w:r>
      <w:r>
        <w:rPr>
          <w:rFonts w:hint="eastAsia" w:ascii="楷体" w:hAnsi="楷体" w:eastAsia="楷体"/>
        </w:rPr>
        <w:t>摘编自杜金鹏、许宏：《二里头遗址与二里头文化研究：中国·二里头遗址与二里头文化国际学术研究讨会论文集》</w:t>
      </w:r>
    </w:p>
    <w:p>
      <w:pPr>
        <w:spacing w:line="360" w:lineRule="auto"/>
        <w:ind w:firstLine="422" w:firstLineChars="200"/>
        <w:rPr>
          <w:rFonts w:ascii="楷体" w:hAnsi="楷体" w:eastAsia="楷体"/>
        </w:rPr>
      </w:pPr>
      <w:r>
        <w:rPr>
          <w:rFonts w:hint="eastAsia" w:ascii="楷体" w:hAnsi="楷体" w:eastAsia="楷体"/>
          <w:b/>
        </w:rPr>
        <w:t>材料</w:t>
      </w:r>
      <w:r>
        <w:rPr>
          <w:rFonts w:ascii="楷体" w:hAnsi="楷体" w:eastAsia="楷体"/>
          <w:b/>
        </w:rPr>
        <w:t>5</w:t>
      </w:r>
      <w:r>
        <w:rPr>
          <w:rFonts w:hint="eastAsia" w:ascii="楷体" w:hAnsi="楷体" w:eastAsia="楷体"/>
          <w:b/>
        </w:rPr>
        <w:t>：</w:t>
      </w:r>
      <w:r>
        <w:rPr>
          <w:rFonts w:hint="eastAsia" w:ascii="楷体" w:hAnsi="楷体" w:eastAsia="楷体"/>
        </w:rPr>
        <w:t>二里头遗址所在的洛阳盆地虽然土壤肥沃，但其他资源却相对比较贫乏，譬如，建造宫殿所需要的木材、石料，制作白陶所需要的特殊陶土，制作绿松石所需要的原料，锻制青铜器所需要的铜、锡、铅，甚至普通居民日常生活所需要的盐等，都要在洛阳盆地之外方圆</w:t>
      </w:r>
      <w:r>
        <w:rPr>
          <w:rFonts w:ascii="楷体" w:hAnsi="楷体" w:eastAsia="楷体"/>
        </w:rPr>
        <w:t>200</w:t>
      </w:r>
      <w:r>
        <w:rPr>
          <w:rFonts w:hint="eastAsia" w:ascii="楷体" w:hAnsi="楷体" w:eastAsia="楷体"/>
        </w:rPr>
        <w:t>平方公里以内才能得到。有的更远，竟需要在</w:t>
      </w:r>
      <w:r>
        <w:rPr>
          <w:rFonts w:ascii="楷体" w:hAnsi="楷体" w:eastAsia="楷体"/>
        </w:rPr>
        <w:t>500</w:t>
      </w:r>
      <w:r>
        <w:rPr>
          <w:rFonts w:hint="eastAsia" w:ascii="楷体" w:hAnsi="楷体" w:eastAsia="楷体"/>
        </w:rPr>
        <w:t>公里以外的长江中游得到。另外，二里头遗址发现的许多名贵器物，如原始玉器和瓷器等，也是来自于其他地方。</w:t>
      </w:r>
    </w:p>
    <w:p>
      <w:pPr>
        <w:spacing w:line="360" w:lineRule="auto"/>
        <w:jc w:val="right"/>
        <w:rPr>
          <w:rFonts w:ascii="楷体" w:hAnsi="楷体" w:eastAsia="楷体"/>
        </w:rPr>
      </w:pPr>
      <w:r>
        <w:rPr>
          <w:rFonts w:ascii="楷体" w:hAnsi="楷体" w:eastAsia="楷体"/>
        </w:rPr>
        <w:t>——</w:t>
      </w:r>
      <w:r>
        <w:rPr>
          <w:rFonts w:hint="eastAsia" w:ascii="楷体" w:hAnsi="楷体" w:eastAsia="楷体"/>
        </w:rPr>
        <w:t>摘编自刘莉、陈星灿：《中国考古学</w:t>
      </w:r>
      <w:r>
        <w:rPr>
          <w:rFonts w:ascii="楷体" w:hAnsi="楷体" w:eastAsia="楷体"/>
        </w:rPr>
        <w:t>——</w:t>
      </w:r>
      <w:r>
        <w:rPr>
          <w:rFonts w:hint="eastAsia" w:ascii="楷体" w:hAnsi="楷体" w:eastAsia="楷体"/>
        </w:rPr>
        <w:t>旧石器时代晚期到早期青铜时代》</w:t>
      </w:r>
    </w:p>
    <w:p>
      <w:pPr>
        <w:spacing w:line="360" w:lineRule="auto"/>
        <w:ind w:firstLine="422" w:firstLineChars="200"/>
        <w:rPr>
          <w:rFonts w:ascii="楷体" w:hAnsi="楷体" w:eastAsia="楷体"/>
        </w:rPr>
      </w:pPr>
      <w:r>
        <w:rPr>
          <w:rFonts w:hint="eastAsia" w:ascii="楷体" w:hAnsi="楷体" w:eastAsia="楷体"/>
          <w:b/>
        </w:rPr>
        <w:t>材料</w:t>
      </w:r>
      <w:r>
        <w:rPr>
          <w:rFonts w:ascii="楷体" w:hAnsi="楷体" w:eastAsia="楷体"/>
          <w:b/>
        </w:rPr>
        <w:t>6</w:t>
      </w:r>
      <w:r>
        <w:rPr>
          <w:rFonts w:hint="eastAsia" w:ascii="楷体" w:hAnsi="楷体" w:eastAsia="楷体"/>
          <w:b/>
        </w:rPr>
        <w:t>：</w:t>
      </w:r>
      <w:r>
        <w:rPr>
          <w:rFonts w:hint="eastAsia" w:ascii="楷体" w:hAnsi="楷体" w:eastAsia="楷体"/>
        </w:rPr>
        <w:t>长江上游成都平原三星堆文化出土的变形兽面纹铜牌饰，一般认为是以二里头文化的同类器为原型仿制而成。在黄河支流渭河流域的甘肃天水，也采集到了一件兽面纹铜牌饰，与二里头遗址出土铜牌饰相类。</w:t>
      </w:r>
    </w:p>
    <w:p>
      <w:pPr>
        <w:spacing w:line="360" w:lineRule="auto"/>
        <w:ind w:firstLine="420" w:firstLineChars="200"/>
        <w:jc w:val="right"/>
      </w:pPr>
      <w:r>
        <w:rPr>
          <w:rFonts w:ascii="楷体" w:hAnsi="楷体" w:eastAsia="楷体"/>
        </w:rPr>
        <w:t>——</w:t>
      </w:r>
      <w:r>
        <w:rPr>
          <w:rFonts w:hint="eastAsia" w:ascii="楷体" w:hAnsi="楷体" w:eastAsia="楷体"/>
        </w:rPr>
        <w:t>许宏：《何以中国：公元前</w:t>
      </w:r>
      <w:r>
        <w:rPr>
          <w:rFonts w:ascii="楷体" w:hAnsi="楷体" w:eastAsia="楷体"/>
        </w:rPr>
        <w:t>2000</w:t>
      </w:r>
      <w:r>
        <w:rPr>
          <w:rFonts w:hint="eastAsia" w:ascii="楷体" w:hAnsi="楷体" w:eastAsia="楷体"/>
        </w:rPr>
        <w:t>年的中原图景》</w:t>
      </w:r>
      <w:r>
        <w:rPr>
          <w:rFonts w:ascii="楷体" w:hAnsi="楷体" w:eastAsia="楷体"/>
        </w:rPr>
        <w:t xml:space="preserve"> </w:t>
      </w:r>
    </w:p>
    <w:p>
      <w:pPr>
        <w:spacing w:line="360" w:lineRule="auto"/>
        <w:ind w:firstLine="420" w:firstLineChars="200"/>
      </w:pPr>
      <w:r>
        <w:rPr>
          <w:rFonts w:hint="eastAsia"/>
        </w:rPr>
        <w:t>设问：根据材料</w:t>
      </w:r>
      <w:r>
        <w:t>4</w:t>
      </w:r>
      <w:r>
        <w:rPr>
          <w:rFonts w:hint="eastAsia"/>
        </w:rPr>
        <w:t>，归纳二里头遗址反映出的历史信息。与陶寺遗址文化相比，二里头文化有何特点？依据材料</w:t>
      </w:r>
      <w:r>
        <w:t>4</w:t>
      </w:r>
      <w:r>
        <w:rPr>
          <w:rFonts w:hint="eastAsia"/>
        </w:rPr>
        <w:t>、</w:t>
      </w:r>
      <w:r>
        <w:t>5</w:t>
      </w:r>
      <w:r>
        <w:rPr>
          <w:rFonts w:hint="eastAsia"/>
        </w:rPr>
        <w:t>提供的线索，推测二里头文化主人获取其他资源和器物可能的途径。二里头文化遗址与周边地区的物质联系说明了什么问题？材料</w:t>
      </w:r>
      <w:r>
        <w:t>6</w:t>
      </w:r>
      <w:r>
        <w:rPr>
          <w:rFonts w:hint="eastAsia"/>
        </w:rPr>
        <w:t>又说明什么？</w:t>
      </w:r>
    </w:p>
    <w:p>
      <w:pPr>
        <w:spacing w:line="360" w:lineRule="auto"/>
        <w:ind w:firstLine="420" w:firstLineChars="200"/>
      </w:pPr>
      <w:r>
        <w:rPr>
          <w:rFonts w:hint="eastAsia"/>
        </w:rPr>
        <w:t>二里头是东亚历史上最早的广域王权国家，它的影响分布远远突破了它所处的地理单元。华夏王朝文明的开启就在二里头时代。二里头文化以中原为中心建立，以军事、政治的纽带把已经形成的中华两河流域文化圈进一步联结，迫使各地区进贡其文化精华，并予以消化、提炼，再创造更高层次的文明成果，并以这些成果“赐予”、传播至周围各区，加速了各区文明发展的进程，同时也削弱了它们的独立性，从而产生了具有双重来源或多源的商代方国文化、周代侯国文化。</w:t>
      </w:r>
      <w:r>
        <w:rPr>
          <w:rStyle w:val="6"/>
        </w:rPr>
        <w:endnoteReference w:id="4" w:customMarkFollows="1"/>
        <w:t>[5]</w:t>
      </w:r>
      <w:r>
        <w:rPr>
          <w:rFonts w:hint="eastAsia"/>
        </w:rPr>
        <w:t>考古资料对于历史文化发展的长程观察具有优势，通过考古比较，陶寺文化和二里头文化的特征与关联性以及二里头文化对于商周的影响等疑问，学生豁然开朗，印象深刻，学习效果强似机械记忆百倍。</w:t>
      </w:r>
    </w:p>
    <w:p>
      <w:pPr>
        <w:spacing w:line="360" w:lineRule="auto"/>
        <w:jc w:val="center"/>
        <w:rPr>
          <w:b/>
        </w:rPr>
      </w:pPr>
      <w:r>
        <w:rPr>
          <w:rFonts w:hint="eastAsia"/>
          <w:b/>
        </w:rPr>
        <w:t>三．运用考古材料理解历史概念</w:t>
      </w:r>
    </w:p>
    <w:p>
      <w:pPr>
        <w:spacing w:line="360" w:lineRule="auto"/>
        <w:rPr>
          <w:b/>
        </w:rPr>
      </w:pPr>
      <w:r>
        <w:rPr>
          <w:b/>
        </w:rPr>
        <w:t xml:space="preserve">    </w:t>
      </w:r>
      <w:r>
        <w:rPr>
          <w:rFonts w:hint="eastAsia"/>
        </w:rPr>
        <w:t>历史概念的形成离不开特定的时空背景。</w:t>
      </w:r>
      <w:r>
        <w:rPr>
          <w:rFonts w:hint="eastAsia"/>
          <w:szCs w:val="22"/>
        </w:rPr>
        <w:t>考古学在地理和历史之间建立起一种天然的联系，因为每一件来自受到控制的考古发掘中的器物都具有两个背景：一个是历史背景，由此，这件器物可以被放回到特定时期的特有文化传统中去；另一个是地理背景，即这件器物占有一个明确的空间位置。考古发掘使得这两个背景相互结合，从而使得历史事件能够确实地和它们的地理环境联系起来。</w:t>
      </w:r>
      <w:r>
        <w:rPr>
          <w:rStyle w:val="6"/>
          <w:szCs w:val="22"/>
        </w:rPr>
        <w:endnoteReference w:id="5" w:customMarkFollows="1"/>
        <w:t>[6]</w:t>
      </w:r>
      <w:r>
        <w:rPr>
          <w:rFonts w:hint="eastAsia"/>
          <w:szCs w:val="22"/>
        </w:rPr>
        <w:t>以西周分封制为例，考古资料的分析能让学生全面把握概念的内涵与外延。</w:t>
      </w:r>
    </w:p>
    <w:p>
      <w:pPr>
        <w:spacing w:line="360" w:lineRule="auto"/>
        <w:rPr>
          <w:b/>
        </w:rPr>
      </w:pPr>
      <w:r>
        <w:t xml:space="preserve">    </w:t>
      </w:r>
      <w:r>
        <w:rPr>
          <w:rFonts w:hint="eastAsia"/>
          <w:b/>
        </w:rPr>
        <w:t>材料</w:t>
      </w:r>
      <w:r>
        <w:rPr>
          <w:b/>
        </w:rPr>
        <w:t>7</w:t>
      </w:r>
      <w:r>
        <w:rPr>
          <w:rFonts w:hint="eastAsia"/>
          <w:b/>
        </w:rPr>
        <w:t>：</w:t>
      </w:r>
    </w:p>
    <w:p>
      <w:pPr>
        <w:spacing w:line="360" w:lineRule="auto"/>
      </w:pPr>
      <w:r>
        <mc:AlternateContent>
          <mc:Choice Requires="wps">
            <w:drawing>
              <wp:anchor distT="0" distB="0" distL="114300" distR="114300" simplePos="0" relativeHeight="251659264" behindDoc="0" locked="0" layoutInCell="1" allowOverlap="1">
                <wp:simplePos x="0" y="0"/>
                <wp:positionH relativeFrom="column">
                  <wp:posOffset>1590675</wp:posOffset>
                </wp:positionH>
                <wp:positionV relativeFrom="paragraph">
                  <wp:posOffset>41275</wp:posOffset>
                </wp:positionV>
                <wp:extent cx="3505200" cy="1732915"/>
                <wp:effectExtent l="473710" t="6350" r="21590" b="13335"/>
                <wp:wrapNone/>
                <wp:docPr id="1" name="自选图形 2"/>
                <wp:cNvGraphicFramePr/>
                <a:graphic xmlns:a="http://schemas.openxmlformats.org/drawingml/2006/main">
                  <a:graphicData uri="http://schemas.microsoft.com/office/word/2010/wordprocessingShape">
                    <wps:wsp>
                      <wps:cNvSpPr/>
                      <wps:spPr>
                        <a:xfrm>
                          <a:off x="0" y="0"/>
                          <a:ext cx="3505200" cy="1732915"/>
                        </a:xfrm>
                        <a:prstGeom prst="borderCallout1">
                          <a:avLst>
                            <a:gd name="adj1" fmla="val 12426"/>
                            <a:gd name="adj2" fmla="val -37"/>
                            <a:gd name="adj3" fmla="val 24778"/>
                            <a:gd name="adj4" fmla="val -13440"/>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ascii="楷体" w:hAnsi="楷体" w:eastAsia="楷体" w:cs="楷体"/>
                              </w:rPr>
                            </w:pPr>
                            <w:r>
                              <w:rPr>
                                <w:rFonts w:hint="eastAsia" w:ascii="楷体" w:hAnsi="楷体" w:eastAsia="楷体" w:cs="楷体"/>
                              </w:rPr>
                              <w:t>惟四月辰在丁未，王省武王、成王伐商图，遂省东或（国）图。王卜于宜口土南。王令虞侯夨曰：迁侯於宜。赐鬯一卣、商瓒一口，彤弓一，彤矢百，旅弓十，旅矢千。赐土：厥川三百……，厥……百又廿，厥宅邑卅又五，……百又四十。赐在宜王人〔十〕又七裏。赐奠七伯，厥〔庐〕〔千〕又五十夫。赐宜庶人六百又……六夫。宜侯夨扬王休，作虞公父丁尊。</w:t>
                            </w:r>
                          </w:p>
                          <w:p>
                            <w:pPr>
                              <w:jc w:val="left"/>
                            </w:pPr>
                            <w:r>
                              <w:rPr>
                                <w:rFonts w:hint="eastAsia"/>
                              </w:rPr>
                              <w:t>注：宜是地名，侯是官名，夨是人名，簋是器名。</w:t>
                            </w:r>
                          </w:p>
                        </w:txbxContent>
                      </wps:txbx>
                      <wps:bodyPr anchor="ctr" anchorCtr="0" upright="1"/>
                    </wps:wsp>
                  </a:graphicData>
                </a:graphic>
              </wp:anchor>
            </w:drawing>
          </mc:Choice>
          <mc:Fallback>
            <w:pict>
              <v:shape id="自选图形 2" o:spid="_x0000_s1026" o:spt="47" type="#_x0000_t47" style="position:absolute;left:0pt;margin-left:125.25pt;margin-top:3.25pt;height:136.45pt;width:276pt;z-index:251659264;v-text-anchor:middle;mso-width-relative:page;mso-height-relative:page;" fillcolor="#FFFFFF" filled="t" stroked="t" coordsize="21600,21600" o:gfxdata="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Z62U9gA&#10;AAAJAQAADwAAAAAAAAABACAAAAAiAAAAZHJzL2Rvd25yZXYueG1sUEsBAhQAFAAAAAgAh07iQD+p&#10;wfxYAgAA7gQAAA4AAAAAAAAAAQAgAAAAJwEAAGRycy9lMm9Eb2MueG1sUEsFBgAAAAAGAAYAWQEA&#10;APEFAAAAAA==&#10;" adj="-2903,5352,-8,2684">
                <v:fill on="t" focussize="0,0"/>
                <v:stroke weight="1pt" color="#000000" joinstyle="miter"/>
                <v:imagedata o:title=""/>
                <o:lock v:ext="edit" aspectratio="f"/>
                <v:textbox>
                  <w:txbxContent>
                    <w:p>
                      <w:pPr>
                        <w:jc w:val="left"/>
                        <w:rPr>
                          <w:rFonts w:ascii="楷体" w:hAnsi="楷体" w:eastAsia="楷体" w:cs="楷体"/>
                        </w:rPr>
                      </w:pPr>
                      <w:r>
                        <w:rPr>
                          <w:rFonts w:hint="eastAsia" w:ascii="楷体" w:hAnsi="楷体" w:eastAsia="楷体" w:cs="楷体"/>
                        </w:rPr>
                        <w:t>惟四月辰在丁未，王省武王、成王伐商图，遂省东或（国）图。王卜于宜口土南。王令虞侯夨曰：迁侯於宜。赐鬯一卣、商瓒一口，彤弓一，彤矢百，旅弓十，旅矢千。赐土：厥川三百……，厥……百又廿，厥宅邑卅又五，……百又四十。赐在宜王人〔十〕又七裏。赐奠七伯，厥〔庐〕〔千〕又五十夫。赐宜庶人六百又……六夫。宜侯夨扬王休，作虞公父丁尊。</w:t>
                      </w:r>
                    </w:p>
                    <w:p>
                      <w:pPr>
                        <w:jc w:val="left"/>
                      </w:pPr>
                      <w:r>
                        <w:rPr>
                          <w:rFonts w:hint="eastAsia"/>
                        </w:rPr>
                        <w:t>注：宜是地名，侯是官名，夨是人名，簋是器名。</w:t>
                      </w:r>
                    </w:p>
                  </w:txbxContent>
                </v:textbox>
              </v:shape>
            </w:pict>
          </mc:Fallback>
        </mc:AlternateContent>
      </w:r>
      <w:r>
        <w:drawing>
          <wp:inline distT="0" distB="0" distL="114300" distR="114300">
            <wp:extent cx="1533525" cy="2124075"/>
            <wp:effectExtent l="0" t="0" r="9525" b="9525"/>
            <wp:docPr id="2" name="图片 1" descr="宜侯夨簋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宜侯夨簋铭文"/>
                    <pic:cNvPicPr>
                      <a:picLocks noChangeAspect="1"/>
                    </pic:cNvPicPr>
                  </pic:nvPicPr>
                  <pic:blipFill>
                    <a:blip r:embed="rId7"/>
                    <a:stretch>
                      <a:fillRect/>
                    </a:stretch>
                  </pic:blipFill>
                  <pic:spPr>
                    <a:xfrm>
                      <a:off x="0" y="0"/>
                      <a:ext cx="1533525" cy="2124075"/>
                    </a:xfrm>
                    <a:prstGeom prst="rect">
                      <a:avLst/>
                    </a:prstGeom>
                    <a:noFill/>
                    <a:ln>
                      <a:noFill/>
                    </a:ln>
                  </pic:spPr>
                </pic:pic>
              </a:graphicData>
            </a:graphic>
          </wp:inline>
        </w:drawing>
      </w:r>
    </w:p>
    <w:p>
      <w:pPr>
        <w:spacing w:line="360" w:lineRule="auto"/>
        <w:ind w:firstLine="420" w:firstLineChars="200"/>
      </w:pPr>
      <w:r>
        <w:rPr>
          <w:rFonts w:hint="eastAsia"/>
        </w:rPr>
        <w:t>设问：宜侯夨簋铭文反映了西周分封制是如何分封的？（提升：从分封依据、对象、授予内容等角度回答）</w:t>
      </w:r>
    </w:p>
    <w:p>
      <w:pPr>
        <w:spacing w:line="360" w:lineRule="auto"/>
        <w:ind w:firstLine="420" w:firstLineChars="200"/>
        <w:rPr>
          <w:rFonts w:ascii="宋体"/>
        </w:rPr>
      </w:pPr>
      <w:r>
        <w:rPr>
          <w:rFonts w:hint="eastAsia" w:ascii="宋体" w:hAnsi="宋体"/>
        </w:rPr>
        <w:t>“王省武王、成王伐商图，遂省东或（国）图”说明周王授土是有“图”作为依据的，这可以让周王对封地内河流、宅邑的具体数目了然于胸。所以周王对宜侯封赐土地的情况，铭文记载十分清楚</w:t>
      </w:r>
      <w:r>
        <w:rPr>
          <w:rFonts w:ascii="宋体" w:hAnsi="宋体"/>
        </w:rPr>
        <w:t>——</w:t>
      </w:r>
      <w:r>
        <w:rPr>
          <w:rFonts w:hint="eastAsia" w:ascii="宋体" w:hAnsi="宋体"/>
        </w:rPr>
        <w:t>“赐土：厥川三百……，厥……百又廿，厥宅邑卅又五，……百又四十”。分封时还要“授民”。授民包括担任官职的人，如“</w:t>
      </w:r>
      <w:r>
        <w:rPr>
          <w:rFonts w:hint="eastAsia" w:ascii="宋体" w:hAnsi="宋体" w:cs="楷体"/>
        </w:rPr>
        <w:t>王人</w:t>
      </w:r>
      <w:r>
        <w:rPr>
          <w:rFonts w:hint="eastAsia" w:ascii="宋体" w:hAnsi="宋体"/>
        </w:rPr>
        <w:t>”和“</w:t>
      </w:r>
      <w:r>
        <w:rPr>
          <w:rFonts w:hint="eastAsia" w:ascii="宋体" w:hAnsi="宋体" w:cs="楷体"/>
        </w:rPr>
        <w:t>奠七伯</w:t>
      </w:r>
      <w:r>
        <w:rPr>
          <w:rFonts w:hint="eastAsia" w:ascii="宋体" w:hAnsi="宋体"/>
        </w:rPr>
        <w:t>”跟随虞侯迁封至宜。这种人员分配方式，不仅是周王在派遣人员帮助诸侯生存，也是加强中央对诸侯的控制。至于附着在封地上的土著原居民，就是铭文中被赐予夨的“宜庶人六百又……六夫”。分封还要“分物”颁给诸侯带有某种象征性含义的器物，如“彤弓一，彤矢百，旅弓十，旅矢千”带有“文武之道”的象征含义，是受封者拥有合法权力的象征物；还有宗庙祭祀之器，如“商瓒”，表明诸侯与周之间拥有紧密的血缘关系。</w:t>
      </w:r>
    </w:p>
    <w:p>
      <w:pPr>
        <w:spacing w:line="360" w:lineRule="auto"/>
        <w:ind w:firstLine="422" w:firstLineChars="200"/>
        <w:rPr>
          <w:rFonts w:ascii="楷体" w:hAnsi="楷体" w:eastAsia="楷体"/>
        </w:rPr>
      </w:pPr>
      <w:r>
        <w:rPr>
          <w:rFonts w:hint="eastAsia" w:ascii="楷体" w:hAnsi="楷体" w:eastAsia="楷体"/>
          <w:b/>
        </w:rPr>
        <w:t>材料</w:t>
      </w:r>
      <w:r>
        <w:rPr>
          <w:rFonts w:ascii="楷体" w:hAnsi="楷体" w:eastAsia="楷体"/>
          <w:b/>
        </w:rPr>
        <w:t>8</w:t>
      </w:r>
      <w:r>
        <w:rPr>
          <w:rFonts w:hint="eastAsia" w:ascii="楷体" w:hAnsi="楷体" w:eastAsia="楷体"/>
          <w:b/>
        </w:rPr>
        <w:t>：</w:t>
      </w:r>
      <w:r>
        <w:rPr>
          <w:rFonts w:hint="eastAsia" w:ascii="楷体" w:hAnsi="楷体" w:eastAsia="楷体"/>
        </w:rPr>
        <w:t>从西周诸侯国遗址的发掘情况看，呈现出较为复杂的居民糅合局面。例如，鲁国遗址的陶器风格和葬俗，既有商奄之民的风格，又有周人的风格；琉璃河燕国遗址的文化面貌，包含有周人、商人和当地土著居民三种因素；而晋国遗址出土的情况，反映出周人与当地戎狄土著居民间的密切关系。</w:t>
      </w:r>
    </w:p>
    <w:p>
      <w:pPr>
        <w:spacing w:line="360" w:lineRule="auto"/>
        <w:ind w:firstLine="420" w:firstLineChars="200"/>
        <w:jc w:val="right"/>
      </w:pPr>
      <w:r>
        <w:rPr>
          <w:rFonts w:ascii="楷体" w:hAnsi="楷体" w:eastAsia="楷体"/>
        </w:rPr>
        <w:t>——</w:t>
      </w:r>
      <w:r>
        <w:rPr>
          <w:rFonts w:hint="eastAsia" w:ascii="楷体" w:hAnsi="楷体" w:eastAsia="楷体"/>
        </w:rPr>
        <w:t>黄爱梅：《西周史》</w:t>
      </w:r>
    </w:p>
    <w:p>
      <w:pPr>
        <w:spacing w:line="360" w:lineRule="auto"/>
        <w:ind w:firstLine="420" w:firstLineChars="200"/>
      </w:pPr>
      <w:r>
        <w:rPr>
          <w:rFonts w:hint="eastAsia"/>
        </w:rPr>
        <w:t>设问：依据材料西周诸侯国遗址为何呈现出较为复杂的居民糅合局面？结合宜侯夨簋铭文分析“封建诸侯”为何能在较长一段时间内保证周王室对天下的有效统治？</w:t>
      </w:r>
    </w:p>
    <w:p>
      <w:pPr>
        <w:spacing w:line="360" w:lineRule="auto"/>
        <w:ind w:firstLine="420" w:firstLineChars="200"/>
      </w:pPr>
      <w:r>
        <w:rPr>
          <w:rFonts w:hint="eastAsia"/>
          <w:szCs w:val="22"/>
        </w:rPr>
        <w:t>考古资料将学生与西周直接联系起来，赋予了学生对古代一种直接的感官体验，让他们感受到了分封制体现的政治智慧：</w:t>
      </w:r>
      <w:r>
        <w:rPr>
          <w:rFonts w:hint="eastAsia"/>
        </w:rPr>
        <w:t>第一，周代封建是一种统治方式。在天下范围内建立若干以王室懿亲及功臣谋士之国为首的统治区域，瓦解、分割殷人势力，对广袤地区进行有效控制。第二，周代封建是建立在族群大迁移基础上的人口重新编组，促使诸侯国一级的政治组织由血缘关系向地缘关系转化。第三，周初封建是周人集团内部对政治权力和经济利益的再分配形式，保证统治集团内部的稳定。</w:t>
      </w:r>
      <w:r>
        <w:rPr>
          <w:rStyle w:val="6"/>
        </w:rPr>
        <w:endnoteReference w:id="6" w:customMarkFollows="1"/>
        <w:t>[7]</w:t>
      </w:r>
    </w:p>
    <w:p>
      <w:pPr>
        <w:spacing w:line="360" w:lineRule="auto"/>
        <w:ind w:firstLine="422" w:firstLineChars="200"/>
        <w:jc w:val="center"/>
        <w:rPr>
          <w:b/>
        </w:rPr>
      </w:pPr>
      <w:r>
        <w:rPr>
          <w:rFonts w:hint="eastAsia"/>
          <w:b/>
        </w:rPr>
        <w:t>四．运用考古材料感悟时代变迁</w:t>
      </w:r>
    </w:p>
    <w:p>
      <w:pPr>
        <w:spacing w:line="360" w:lineRule="auto"/>
        <w:ind w:firstLine="420" w:firstLineChars="200"/>
      </w:pPr>
      <w:r>
        <w:rPr>
          <w:rFonts w:hint="eastAsia"/>
        </w:rPr>
        <w:t>公元前</w:t>
      </w:r>
      <w:r>
        <w:t>4000</w:t>
      </w:r>
      <w:r>
        <w:rPr>
          <w:rFonts w:hint="eastAsia"/>
        </w:rPr>
        <w:t>年至公元前</w:t>
      </w:r>
      <w:r>
        <w:t>1046</w:t>
      </w:r>
      <w:r>
        <w:rPr>
          <w:rFonts w:hint="eastAsia"/>
        </w:rPr>
        <w:t>年，是“中国”孕育、诞生和初步发展的一个特殊时期。如何让学生客观地看待这一时期“最初中国”的历史地位，考古资料最具说服力。</w:t>
      </w:r>
    </w:p>
    <w:p>
      <w:pPr>
        <w:spacing w:line="360" w:lineRule="auto"/>
        <w:ind w:firstLine="422" w:firstLineChars="200"/>
        <w:rPr>
          <w:rFonts w:ascii="楷体" w:hAnsi="楷体" w:eastAsia="楷体"/>
        </w:rPr>
      </w:pPr>
      <w:r>
        <w:rPr>
          <w:rFonts w:hint="eastAsia" w:ascii="楷体" w:hAnsi="楷体" w:eastAsia="楷体"/>
          <w:b/>
        </w:rPr>
        <w:t>材料</w:t>
      </w:r>
      <w:r>
        <w:rPr>
          <w:rFonts w:ascii="楷体" w:hAnsi="楷体" w:eastAsia="楷体"/>
          <w:b/>
        </w:rPr>
        <w:t>9</w:t>
      </w:r>
      <w:r>
        <w:rPr>
          <w:rFonts w:hint="eastAsia" w:ascii="楷体" w:hAnsi="楷体" w:eastAsia="楷体"/>
          <w:b/>
        </w:rPr>
        <w:t>：</w:t>
      </w:r>
      <w:r>
        <w:rPr>
          <w:rFonts w:hint="eastAsia" w:ascii="楷体" w:hAnsi="楷体" w:eastAsia="楷体"/>
        </w:rPr>
        <w:t>黄河中下游平原地区虽是世界农业发祥地之一，但由于缺少易于开采和冶炼的金属矿藏，这里金属农具的使用远远晚于其他古代文明地区。据史料记载和考古发现，尼罗河流域的古埃及人在公元前四千纪即已进入金石并用时代，出现了铜刀、铜斧、铜锄等农具。两河流域在公元前四千纪的苏美尔人时代也出现了铜制工具。印度河和恒河流域在雅利安人入侵之前的公元前三千纪已广泛使用铜制鹤嘴锄。小亚细亚的赫梯人于公元前二千纪发明冶铁术，在耕作中使用铁犁。南欧则很快学会了赫梯人的冶铁术，从而进入了以铁剑、铁斧、铁犁为标志的“英雄时代”。而黄河流域直到夏代（公元前</w:t>
      </w:r>
      <w:r>
        <w:rPr>
          <w:rFonts w:ascii="楷体" w:hAnsi="楷体" w:eastAsia="楷体"/>
        </w:rPr>
        <w:t>21-16</w:t>
      </w:r>
      <w:r>
        <w:rPr>
          <w:rFonts w:hint="eastAsia" w:ascii="楷体" w:hAnsi="楷体" w:eastAsia="楷体"/>
        </w:rPr>
        <w:t>世纪）才出现铜器。铜的冶炼和铜器制造到商（公元前</w:t>
      </w:r>
      <w:r>
        <w:rPr>
          <w:rFonts w:ascii="楷体" w:hAnsi="楷体" w:eastAsia="楷体"/>
        </w:rPr>
        <w:t>16-11</w:t>
      </w:r>
      <w:r>
        <w:rPr>
          <w:rFonts w:hint="eastAsia" w:ascii="楷体" w:hAnsi="楷体" w:eastAsia="楷体"/>
        </w:rPr>
        <w:t>世纪）时始达到一定规模。但直到春秋时期青铜还十分珍贵，被称为“美金”，只用来制造礼器和兵器，很少用来制造农具。所以在殷墟发掘中无金属农具的发现。中国直到春秋时期（公元前</w:t>
      </w:r>
      <w:r>
        <w:rPr>
          <w:rFonts w:ascii="楷体" w:hAnsi="楷体" w:eastAsia="楷体"/>
        </w:rPr>
        <w:t>770-476</w:t>
      </w:r>
      <w:r>
        <w:rPr>
          <w:rFonts w:hint="eastAsia" w:ascii="楷体" w:hAnsi="楷体" w:eastAsia="楷体"/>
        </w:rPr>
        <w:t>年）发明冶铁术之后金属农具才被普遍使用。</w:t>
      </w:r>
    </w:p>
    <w:p>
      <w:pPr>
        <w:spacing w:line="360" w:lineRule="auto"/>
        <w:ind w:firstLine="420" w:firstLineChars="200"/>
        <w:jc w:val="right"/>
        <w:rPr>
          <w:rFonts w:ascii="楷体" w:hAnsi="楷体" w:eastAsia="楷体"/>
        </w:rPr>
      </w:pPr>
      <w:r>
        <w:rPr>
          <w:rFonts w:ascii="楷体" w:hAnsi="楷体" w:eastAsia="楷体"/>
        </w:rPr>
        <w:t>——</w:t>
      </w:r>
      <w:r>
        <w:rPr>
          <w:rFonts w:hint="eastAsia" w:ascii="楷体" w:hAnsi="楷体" w:eastAsia="楷体"/>
        </w:rPr>
        <w:t>马振铎等：《儒家文明》</w:t>
      </w:r>
    </w:p>
    <w:p>
      <w:pPr>
        <w:spacing w:line="360" w:lineRule="auto"/>
        <w:ind w:firstLine="420" w:firstLineChars="200"/>
      </w:pPr>
      <w:r>
        <w:rPr>
          <w:rFonts w:hint="eastAsia"/>
        </w:rPr>
        <w:t>设问：依据考古材料分析为什么中国上古时代国家产生而氏族制却未解体？</w:t>
      </w:r>
    </w:p>
    <w:p>
      <w:pPr>
        <w:spacing w:line="360" w:lineRule="auto"/>
        <w:ind w:firstLine="420" w:firstLineChars="200"/>
      </w:pPr>
      <w:r>
        <w:rPr>
          <w:rFonts w:hint="eastAsia"/>
        </w:rPr>
        <w:t>面对严峻的自然环境和落后的生产工具，中国先民只有依赖群体才能生存。其他古代文明地区的国家，一般是在氏族制度瓦解的基础上，以新的权力机关代替原来的氏族制机关而产生的。例如雅典城邦国家就是在民选机关代替氏族机关、人口重新按地域划分的基础上产生。中国古代国家的产生，却是氏族制强化的结果。如“夏朝社会仍然是聚族而居。除对夏部族生活的地区实行直接统治外，对其他地方主要通过控制一些部族进行间接统治。”“商朝的国家管理实行内外服制。内服指商王直接控制的王畿地区，外服指商王间接控制的方国和部族。”“西周实行分封制与宗法制，史称</w:t>
      </w:r>
      <w:r>
        <w:rPr>
          <w:rFonts w:hint="eastAsia" w:ascii="宋体" w:hAnsi="宋体"/>
        </w:rPr>
        <w:t>‘封建亲戚，以蕃屏周’。</w:t>
      </w:r>
      <w:r>
        <w:rPr>
          <w:rFonts w:hint="eastAsia"/>
        </w:rPr>
        <w:t>”</w:t>
      </w:r>
      <w:r>
        <w:rPr>
          <w:rStyle w:val="6"/>
        </w:rPr>
        <w:endnoteReference w:id="7" w:customMarkFollows="1"/>
        <w:t>[8]</w:t>
      </w:r>
      <w:r>
        <w:rPr>
          <w:rFonts w:hint="eastAsia"/>
        </w:rPr>
        <w:t>考古资料帮助学生深刻理解了教材“从部落到国家”和“商和西周”两个子目的内在逻辑，明白了“经济基础决定上层建筑”的唯物史论观点，深刻把握了历史发展过程中变与不变的动因。</w:t>
      </w:r>
    </w:p>
    <w:p>
      <w:pPr>
        <w:spacing w:line="360" w:lineRule="auto"/>
        <w:ind w:firstLine="422" w:firstLineChars="200"/>
        <w:rPr>
          <w:rFonts w:ascii="楷体" w:hAnsi="楷体" w:eastAsia="楷体"/>
          <w:bCs/>
        </w:rPr>
      </w:pPr>
      <w:r>
        <w:rPr>
          <w:rFonts w:hint="eastAsia" w:ascii="楷体" w:hAnsi="楷体" w:eastAsia="楷体"/>
          <w:b/>
        </w:rPr>
        <w:t>材料</w:t>
      </w:r>
      <w:r>
        <w:rPr>
          <w:rFonts w:ascii="楷体" w:hAnsi="楷体" w:eastAsia="楷体"/>
          <w:b/>
        </w:rPr>
        <w:t>10</w:t>
      </w:r>
      <w:r>
        <w:rPr>
          <w:rFonts w:hint="eastAsia" w:ascii="楷体" w:hAnsi="楷体" w:eastAsia="楷体"/>
          <w:b/>
        </w:rPr>
        <w:t>：</w:t>
      </w:r>
      <w:r>
        <w:rPr>
          <w:rFonts w:hint="eastAsia" w:ascii="楷体" w:hAnsi="楷体" w:eastAsia="楷体"/>
          <w:bCs/>
        </w:rPr>
        <w:t>中华文明起源如“满天星斗”般遍布华夏大地。当陶寺贵族偏居晋南一隅坐享荣华时，嵩山南麓则是一片“天下万国”场景。随着瓦店、王城岗、古城寨等河南龙山城址相继衰落，新砦大邑崛起并迈开社会整合步伐。经历几百年逐鹿中原，东亚历史上最早广域王权国家在洛阳盆地崛起</w:t>
      </w:r>
      <w:r>
        <w:rPr>
          <w:rFonts w:ascii="楷体" w:hAnsi="楷体" w:eastAsia="楷体"/>
          <w:bCs/>
        </w:rPr>
        <w:t>——</w:t>
      </w:r>
      <w:r>
        <w:rPr>
          <w:rFonts w:hint="eastAsia" w:ascii="楷体" w:hAnsi="楷体" w:eastAsia="楷体"/>
          <w:bCs/>
        </w:rPr>
        <w:t>二里头，正处在中华民族由“多元”走向“一体”的节点上。</w:t>
      </w:r>
    </w:p>
    <w:p>
      <w:pPr>
        <w:spacing w:line="360" w:lineRule="auto"/>
        <w:jc w:val="right"/>
        <w:rPr>
          <w:rFonts w:ascii="楷体" w:hAnsi="楷体" w:eastAsia="楷体"/>
          <w:bCs/>
        </w:rPr>
      </w:pPr>
      <w:r>
        <w:rPr>
          <w:rFonts w:ascii="楷体" w:hAnsi="楷体" w:eastAsia="楷体"/>
          <w:bCs/>
        </w:rPr>
        <w:t>——</w:t>
      </w:r>
      <w:r>
        <w:rPr>
          <w:rFonts w:hint="eastAsia" w:ascii="楷体" w:hAnsi="楷体" w:eastAsia="楷体"/>
          <w:bCs/>
        </w:rPr>
        <w:t>桂娟：《二里头：从多元走向一体》，《瞭望》</w:t>
      </w:r>
      <w:r>
        <w:rPr>
          <w:rFonts w:ascii="楷体" w:hAnsi="楷体" w:eastAsia="楷体"/>
          <w:bCs/>
        </w:rPr>
        <w:t>2016</w:t>
      </w:r>
      <w:r>
        <w:rPr>
          <w:rFonts w:hint="eastAsia" w:ascii="楷体" w:hAnsi="楷体" w:eastAsia="楷体"/>
          <w:bCs/>
        </w:rPr>
        <w:t>年第</w:t>
      </w:r>
      <w:r>
        <w:rPr>
          <w:rFonts w:ascii="楷体" w:hAnsi="楷体" w:eastAsia="楷体"/>
          <w:bCs/>
        </w:rPr>
        <w:t>6</w:t>
      </w:r>
      <w:r>
        <w:rPr>
          <w:rFonts w:hint="eastAsia" w:ascii="楷体" w:hAnsi="楷体" w:eastAsia="楷体"/>
          <w:bCs/>
        </w:rPr>
        <w:t>期</w:t>
      </w:r>
    </w:p>
    <w:p>
      <w:pPr>
        <w:spacing w:line="360" w:lineRule="auto"/>
        <w:ind w:firstLine="420" w:firstLineChars="200"/>
      </w:pPr>
      <w:r>
        <w:rPr>
          <w:rFonts w:hint="eastAsia"/>
        </w:rPr>
        <w:t>设问：结合材料</w:t>
      </w:r>
      <w:r>
        <w:t>10</w:t>
      </w:r>
      <w:r>
        <w:rPr>
          <w:rFonts w:hint="eastAsia"/>
        </w:rPr>
        <w:t>和本课教学所有线索，谈谈你对“何谓早期中国”的理解。</w:t>
      </w:r>
    </w:p>
    <w:p>
      <w:pPr>
        <w:spacing w:line="360" w:lineRule="auto"/>
        <w:ind w:firstLine="420" w:firstLineChars="200"/>
      </w:pPr>
      <w:r>
        <w:rPr>
          <w:rFonts w:hint="eastAsia"/>
        </w:rPr>
        <w:t>“古国</w:t>
      </w:r>
      <w:r>
        <w:t>——</w:t>
      </w:r>
      <w:r>
        <w:rPr>
          <w:rFonts w:hint="eastAsia"/>
        </w:rPr>
        <w:t>王国</w:t>
      </w:r>
      <w:r>
        <w:t>——</w:t>
      </w:r>
      <w:r>
        <w:rPr>
          <w:rFonts w:hint="eastAsia"/>
        </w:rPr>
        <w:t>帝国”是中国考古学工作者用来表示中国历史发展阶段的划分术语。古国是指原始社会后期出现的单一制初级国家。古国时代，也被称作邦国时代，用最初提出者苏秉琦先生的话来说就是“满天星斗”，是一种无中心的万邦文化多源时代。古国向前进一步发展是王国。王国的特征是“国上之国”，即各诸侯国或酋邦之上还有一个中央王朝存在。但各诸侯国还有独立的血缘继承权和其他政治权利。王国时代就是从无中心的满天星斗进入到了月明星稀</w:t>
      </w:r>
      <w:r>
        <w:t>——</w:t>
      </w:r>
      <w:r>
        <w:rPr>
          <w:rFonts w:hint="eastAsia"/>
        </w:rPr>
        <w:t>有中心的多元一体时代。王国再向前发展就进入到了帝国阶段。帝国已经是成熟的国家形态。皇帝可以拥有至高无上的权力。</w:t>
      </w:r>
      <w:r>
        <w:rPr>
          <w:rStyle w:val="6"/>
        </w:rPr>
        <w:endnoteReference w:id="8" w:customMarkFollows="1"/>
        <w:t>[9]</w:t>
      </w:r>
      <w:r>
        <w:rPr>
          <w:rFonts w:hint="eastAsia"/>
        </w:rPr>
        <w:t>国家发展形态是理解“何谓早期中国”的一条线索。“中国”也是一个地理概念，即中国必须是居于“天下之中”的“中央王国”。“中国”作为词组，最早出现于《何尊铭文》“宅兹中国”。可见，早在</w:t>
      </w:r>
      <w:r>
        <w:t>3000</w:t>
      </w:r>
      <w:r>
        <w:rPr>
          <w:rFonts w:hint="eastAsia"/>
        </w:rPr>
        <w:t>年前的周人眼中，“中国”即指周王朝疆域的中心地区，即成周一带。“天下之中”的说法，一方面反映了当时人们对宇宙的看法，认为洛阳一带是大地的中心。另一方面，这里确是当时朝会、商业、文化及交通的中心。</w:t>
      </w:r>
      <w:r>
        <w:rPr>
          <w:rStyle w:val="6"/>
        </w:rPr>
        <w:endnoteReference w:id="9" w:customMarkFollows="1"/>
        <w:t>[10]</w:t>
      </w:r>
      <w:r>
        <w:rPr>
          <w:rFonts w:hint="eastAsia"/>
        </w:rPr>
        <w:t>“中国”还是一个文化概念，即各古国、各诸侯国所共同认定的“华夏”“诸夏”文化共识圈。对陶寺到西周遗址中发掘的大量礼器便说明“中国”这个概念从诞生之日起就包含了中国传统文化“敬天祭祖”这个核心内容。实际上，就更为广泛的政治意义而言，文化中国和地理中国也都是政治中国的题中应有之义。</w:t>
      </w:r>
      <w:r>
        <w:rPr>
          <w:rStyle w:val="6"/>
        </w:rPr>
        <w:endnoteReference w:id="10" w:customMarkFollows="1"/>
        <w:t>[11]</w:t>
      </w:r>
    </w:p>
    <w:p>
      <w:pPr>
        <w:spacing w:line="360" w:lineRule="auto"/>
        <w:ind w:firstLine="422" w:firstLineChars="200"/>
        <w:jc w:val="center"/>
        <w:rPr>
          <w:b/>
        </w:rPr>
      </w:pPr>
      <w:r>
        <w:rPr>
          <w:rFonts w:hint="eastAsia"/>
          <w:b/>
        </w:rPr>
        <w:t>五．结语</w:t>
      </w:r>
    </w:p>
    <w:p>
      <w:pPr>
        <w:spacing w:line="360" w:lineRule="auto"/>
        <w:ind w:firstLine="420" w:firstLineChars="200"/>
      </w:pPr>
      <w:r>
        <w:rPr>
          <w:rFonts w:hint="eastAsia"/>
        </w:rPr>
        <w:t>史学不是对过去的研究，而是对过去在现在所造成的结果（遗迹、残迹等）的研究，是一种从遗迹到事实的推理艺术。</w:t>
      </w:r>
      <w:r>
        <w:rPr>
          <w:rStyle w:val="6"/>
        </w:rPr>
        <w:endnoteReference w:id="11" w:customMarkFollows="1"/>
        <w:t>[12]</w:t>
      </w:r>
      <w:r>
        <w:rPr>
          <w:rFonts w:hint="eastAsia"/>
        </w:rPr>
        <w:t>历史教学若想走出死记硬背的困境就应该让学生多接触历史遗迹、残迹，发挥历史想象与推理能力，构建历史图景，而不是把历史结论直接“喂”给学生。在运用考古材料之前应反思：</w:t>
      </w:r>
      <w:r>
        <w:rPr>
          <w:rFonts w:hint="eastAsia"/>
          <w:szCs w:val="22"/>
        </w:rPr>
        <w:t>考古材料能为我们的研究提供什么样的知识呢？在多大程度上，这些知识是真正新的，而不只是重温我们从传统文献上已经获知的内容？如果有的是只有考古学才能提供的知识，那么这些知识是什么？</w:t>
      </w:r>
      <w:r>
        <w:rPr>
          <w:rStyle w:val="6"/>
          <w:szCs w:val="22"/>
        </w:rPr>
        <w:endnoteReference w:id="12" w:customMarkFollows="1"/>
        <w:t>[13]</w:t>
      </w:r>
      <w:r>
        <w:rPr>
          <w:rFonts w:hint="eastAsia"/>
          <w:szCs w:val="22"/>
        </w:rPr>
        <w:t>历史课上考古资料的运用显然不是为了追求数量和形式。如果文献资料能有助于解决问题当然不一定要引入考古资料。但文献往往反映的是贵族、官僚和知识精英的事迹和观点，</w:t>
      </w:r>
      <w:r>
        <w:rPr>
          <w:rFonts w:hint="eastAsia"/>
        </w:rPr>
        <w:t>工匠与商人一样，在文献记载中也很少提到。在考古学上我们主要通过其产品以及发掘出来的作坊遗存认识他们。另外，</w:t>
      </w:r>
      <w:r>
        <w:rPr>
          <w:rFonts w:hint="eastAsia"/>
          <w:szCs w:val="22"/>
        </w:rPr>
        <w:t>在文献和考古资料取舍问题上，李峰教授的建议值得关注：</w:t>
      </w:r>
      <w:r>
        <w:rPr>
          <w:rFonts w:hint="eastAsia"/>
        </w:rPr>
        <w:t>我们对西周国家的认识基本上可以在西周当代的史料也就是青铜器铭文上建立起来，可以相对较少地受到后代文献史料价值观的困扰。重要的是我们首先要把西周金文中的情况搞清楚，这样我们即使使用后世文献才会有一个可靠的基础。如果我们从后世文献譬如说《周礼》这本书出发，我们将搞不清这些文献中记载的哪些是西周真正的制度，哪些是后世的创造。……因此，在西周政府的研究中我是不主张用，至少是不首先用《周礼》的。这不是“二重证据法”所能解决的问题，而是我们有关西周历史的研究真正的立足点究竟在哪里的问题。</w:t>
      </w:r>
      <w:r>
        <w:rPr>
          <w:rStyle w:val="6"/>
        </w:rPr>
        <w:endnoteReference w:id="13" w:customMarkFollows="1"/>
        <w:t>[14]</w:t>
      </w:r>
      <w:r>
        <w:rPr>
          <w:rFonts w:hint="eastAsia"/>
          <w:szCs w:val="22"/>
        </w:rPr>
        <w:t>青铜礼器上的铭文、玉石盟书、简帛文书能提供补充信息，但是这样的信息同样也需要谨慎的释读。比如说，金文和盟书是宗教文书，因而各自带有偏见。</w:t>
      </w:r>
      <w:r>
        <w:rPr>
          <w:rFonts w:hint="eastAsia"/>
        </w:rPr>
        <w:t>但与后世文献相比之下，不会说话的考古材料本身还是具有很强的质朴性。我们只要充分地意识到考古材料和考古学的局限性，考古资料还是可以提供丰富的历史线索的。</w:t>
      </w:r>
    </w:p>
    <w:p>
      <w:pPr>
        <w:spacing w:line="360" w:lineRule="auto"/>
      </w:pPr>
      <w:bookmarkStart w:id="0" w:name="_GoBack"/>
      <w:bookmarkEnd w:id="0"/>
    </w:p>
    <w:sectPr>
      <w:footerReference r:id="rId4" w:type="default"/>
      <w:footerReference r:id="rId5" w:type="even"/>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8">
    <w:p>
      <w:r>
        <w:separator/>
      </w:r>
    </w:p>
  </w:endnote>
  <w:endnote w:type="continuationSeparator" w:id="29">
    <w:p>
      <w:r>
        <w:continuationSeparator/>
      </w:r>
    </w:p>
  </w:endnote>
  <w:endnote w:id="0">
    <w:p>
      <w:pPr>
        <w:pStyle w:val="2"/>
      </w:pPr>
      <w:r>
        <w:rPr>
          <w:rStyle w:val="6"/>
        </w:rPr>
        <w:t>[1]</w:t>
      </w:r>
      <w:r>
        <w:t xml:space="preserve"> </w:t>
      </w:r>
      <w:r>
        <w:rPr>
          <w:rFonts w:hint="eastAsia"/>
          <w:bCs/>
        </w:rPr>
        <w:t>王巍总主编：《中国考古学大辞典》，上海：上海辞书出版社，</w:t>
      </w:r>
      <w:r>
        <w:rPr>
          <w:bCs/>
        </w:rPr>
        <w:t>2014</w:t>
      </w:r>
      <w:r>
        <w:rPr>
          <w:rFonts w:hint="eastAsia"/>
          <w:bCs/>
        </w:rPr>
        <w:t>年，第</w:t>
      </w:r>
      <w:r>
        <w:rPr>
          <w:bCs/>
        </w:rPr>
        <w:t>1</w:t>
      </w:r>
      <w:r>
        <w:rPr>
          <w:rFonts w:hint="eastAsia"/>
          <w:bCs/>
        </w:rPr>
        <w:t>页。</w:t>
      </w:r>
    </w:p>
  </w:endnote>
  <w:endnote w:id="1">
    <w:p>
      <w:pPr>
        <w:pStyle w:val="2"/>
      </w:pPr>
      <w:r>
        <w:rPr>
          <w:rStyle w:val="6"/>
        </w:rPr>
        <w:t>[2]</w:t>
      </w:r>
      <w:r>
        <w:rPr>
          <w:rFonts w:hint="eastAsia" w:ascii="宋体" w:hAnsi="宋体"/>
        </w:rPr>
        <w:t>（美）罗泰：《宗子维城：从考古材料的角度看公元前</w:t>
      </w:r>
      <w:r>
        <w:rPr>
          <w:rFonts w:ascii="宋体" w:hAnsi="宋体"/>
        </w:rPr>
        <w:t>1000</w:t>
      </w:r>
      <w:r>
        <w:rPr>
          <w:rFonts w:hint="eastAsia" w:ascii="宋体" w:hAnsi="宋体"/>
        </w:rPr>
        <w:t>至前</w:t>
      </w:r>
      <w:r>
        <w:rPr>
          <w:rFonts w:ascii="宋体" w:hAnsi="宋体"/>
        </w:rPr>
        <w:t>250</w:t>
      </w:r>
      <w:r>
        <w:rPr>
          <w:rFonts w:hint="eastAsia" w:ascii="宋体" w:hAnsi="宋体"/>
        </w:rPr>
        <w:t>年的中国社会》，上海：上海古籍出版社，</w:t>
      </w:r>
      <w:r>
        <w:rPr>
          <w:rFonts w:ascii="宋体" w:hAnsi="宋体"/>
        </w:rPr>
        <w:t>2017</w:t>
      </w:r>
      <w:r>
        <w:rPr>
          <w:rFonts w:hint="eastAsia" w:ascii="宋体" w:hAnsi="宋体"/>
        </w:rPr>
        <w:t>年，第</w:t>
      </w:r>
      <w:r>
        <w:rPr>
          <w:rFonts w:ascii="宋体" w:hAnsi="宋体"/>
        </w:rPr>
        <w:t>13</w:t>
      </w:r>
      <w:r>
        <w:rPr>
          <w:rFonts w:hint="eastAsia" w:ascii="宋体" w:hAnsi="宋体"/>
        </w:rPr>
        <w:t>页。</w:t>
      </w:r>
    </w:p>
  </w:endnote>
  <w:endnote w:id="2">
    <w:p>
      <w:pPr>
        <w:ind w:right="420"/>
      </w:pPr>
      <w:r>
        <w:rPr>
          <w:rStyle w:val="6"/>
        </w:rPr>
        <w:t>[3]</w:t>
      </w:r>
      <w:r>
        <w:t xml:space="preserve"> </w:t>
      </w:r>
      <w:r>
        <w:rPr>
          <w:rFonts w:hint="eastAsia"/>
        </w:rPr>
        <w:t>摘编自黄慰文、贾兰坡等：《中国历史的童年（合订本）》，北京：中华书局，</w:t>
      </w:r>
      <w:r>
        <w:t>1982</w:t>
      </w:r>
      <w:r>
        <w:rPr>
          <w:rFonts w:hint="eastAsia"/>
        </w:rPr>
        <w:t>年，第</w:t>
      </w:r>
      <w:r>
        <w:t>66-70</w:t>
      </w:r>
      <w:r>
        <w:rPr>
          <w:rFonts w:hint="eastAsia"/>
        </w:rPr>
        <w:t>页。</w:t>
      </w:r>
    </w:p>
  </w:endnote>
  <w:endnote w:id="3">
    <w:p>
      <w:pPr>
        <w:pStyle w:val="2"/>
      </w:pPr>
      <w:r>
        <w:rPr>
          <w:rStyle w:val="6"/>
        </w:rPr>
        <w:t>[4]</w:t>
      </w:r>
      <w:r>
        <w:t xml:space="preserve"> </w:t>
      </w:r>
      <w:r>
        <w:rPr>
          <w:rFonts w:hint="eastAsia" w:ascii="宋体" w:hAnsi="宋体"/>
        </w:rPr>
        <w:t>邢义田：《立体的历史：从图像看古代中国与域外文化》，北京：三联书店，</w:t>
      </w:r>
      <w:r>
        <w:rPr>
          <w:rFonts w:ascii="宋体" w:hAnsi="宋体"/>
        </w:rPr>
        <w:t>2014</w:t>
      </w:r>
      <w:r>
        <w:rPr>
          <w:rFonts w:hint="eastAsia" w:ascii="宋体" w:hAnsi="宋体"/>
        </w:rPr>
        <w:t>年，第</w:t>
      </w:r>
      <w:r>
        <w:rPr>
          <w:rFonts w:ascii="宋体" w:hAnsi="宋体"/>
        </w:rPr>
        <w:t>216</w:t>
      </w:r>
      <w:r>
        <w:rPr>
          <w:rFonts w:hint="eastAsia" w:ascii="宋体" w:hAnsi="宋体"/>
        </w:rPr>
        <w:t>页。</w:t>
      </w:r>
    </w:p>
  </w:endnote>
  <w:endnote w:id="4">
    <w:p>
      <w:pPr>
        <w:pStyle w:val="2"/>
      </w:pPr>
      <w:r>
        <w:rPr>
          <w:rStyle w:val="6"/>
        </w:rPr>
        <w:t>[5]</w:t>
      </w:r>
      <w:r>
        <w:t xml:space="preserve"> </w:t>
      </w:r>
      <w:r>
        <w:rPr>
          <w:rFonts w:hint="eastAsia" w:ascii="宋体" w:hAnsi="宋体"/>
        </w:rPr>
        <w:t>许宏：《何以中国：公元前</w:t>
      </w:r>
      <w:r>
        <w:rPr>
          <w:rFonts w:ascii="宋体" w:hAnsi="宋体"/>
        </w:rPr>
        <w:t>2000</w:t>
      </w:r>
      <w:r>
        <w:rPr>
          <w:rFonts w:hint="eastAsia" w:ascii="宋体" w:hAnsi="宋体"/>
        </w:rPr>
        <w:t>年的中原图景》，北京：三联书店，</w:t>
      </w:r>
      <w:r>
        <w:rPr>
          <w:rFonts w:ascii="宋体" w:hAnsi="宋体"/>
        </w:rPr>
        <w:t>2016</w:t>
      </w:r>
      <w:r>
        <w:rPr>
          <w:rFonts w:hint="eastAsia" w:ascii="宋体" w:hAnsi="宋体"/>
        </w:rPr>
        <w:t>年，第</w:t>
      </w:r>
      <w:r>
        <w:rPr>
          <w:rFonts w:ascii="宋体" w:hAnsi="宋体"/>
        </w:rPr>
        <w:t>163</w:t>
      </w:r>
      <w:r>
        <w:rPr>
          <w:rFonts w:hint="eastAsia" w:ascii="宋体" w:hAnsi="宋体"/>
        </w:rPr>
        <w:t>页。</w:t>
      </w:r>
    </w:p>
  </w:endnote>
  <w:endnote w:id="5">
    <w:p>
      <w:pPr>
        <w:pStyle w:val="2"/>
      </w:pPr>
      <w:r>
        <w:rPr>
          <w:rStyle w:val="6"/>
        </w:rPr>
        <w:t>[6]</w:t>
      </w:r>
      <w:r>
        <w:t xml:space="preserve"> </w:t>
      </w:r>
      <w:r>
        <w:rPr>
          <w:rFonts w:hint="eastAsia" w:ascii="宋体" w:hAnsi="宋体"/>
          <w:szCs w:val="22"/>
        </w:rPr>
        <w:t>李峰：《西周的灭亡：中国早期国家的地理和政治危机》，上海：上海古籍出版社，</w:t>
      </w:r>
      <w:r>
        <w:rPr>
          <w:rFonts w:ascii="宋体" w:hAnsi="宋体"/>
          <w:szCs w:val="22"/>
        </w:rPr>
        <w:t>2</w:t>
      </w:r>
      <w:r>
        <w:rPr>
          <w:rFonts w:ascii="宋体" w:hAnsi="宋体"/>
        </w:rPr>
        <w:t>016</w:t>
      </w:r>
      <w:r>
        <w:rPr>
          <w:rFonts w:hint="eastAsia" w:ascii="宋体" w:hAnsi="宋体"/>
        </w:rPr>
        <w:t>年，第</w:t>
      </w:r>
      <w:r>
        <w:rPr>
          <w:rFonts w:ascii="宋体" w:hAnsi="宋体"/>
          <w:szCs w:val="22"/>
        </w:rPr>
        <w:t>24-25</w:t>
      </w:r>
      <w:r>
        <w:rPr>
          <w:rFonts w:hint="eastAsia" w:ascii="宋体" w:hAnsi="宋体"/>
          <w:szCs w:val="22"/>
        </w:rPr>
        <w:t>页。</w:t>
      </w:r>
    </w:p>
  </w:endnote>
  <w:endnote w:id="6">
    <w:p>
      <w:pPr>
        <w:pStyle w:val="2"/>
      </w:pPr>
      <w:r>
        <w:rPr>
          <w:rStyle w:val="6"/>
        </w:rPr>
        <w:t>[7]</w:t>
      </w:r>
      <w:r>
        <w:t xml:space="preserve"> </w:t>
      </w:r>
      <w:r>
        <w:rPr>
          <w:rFonts w:hint="eastAsia" w:ascii="宋体" w:hAnsi="宋体"/>
        </w:rPr>
        <w:t>黄爱梅：《西周史》，上海：上海人民出版社，</w:t>
      </w:r>
      <w:r>
        <w:rPr>
          <w:rFonts w:ascii="宋体" w:hAnsi="宋体"/>
        </w:rPr>
        <w:t>2015</w:t>
      </w:r>
      <w:r>
        <w:rPr>
          <w:rFonts w:hint="eastAsia" w:ascii="宋体" w:hAnsi="宋体"/>
        </w:rPr>
        <w:t>年，第</w:t>
      </w:r>
      <w:r>
        <w:rPr>
          <w:rFonts w:ascii="宋体" w:hAnsi="宋体"/>
        </w:rPr>
        <w:t>43</w:t>
      </w:r>
      <w:r>
        <w:rPr>
          <w:rFonts w:hint="eastAsia" w:ascii="宋体" w:hAnsi="宋体"/>
        </w:rPr>
        <w:t>页。</w:t>
      </w:r>
    </w:p>
  </w:endnote>
  <w:endnote w:id="7">
    <w:p>
      <w:pPr>
        <w:pStyle w:val="2"/>
      </w:pPr>
      <w:r>
        <w:rPr>
          <w:rStyle w:val="6"/>
        </w:rPr>
        <w:t>[8]</w:t>
      </w:r>
      <w:r>
        <w:t xml:space="preserve"> </w:t>
      </w:r>
      <w:r>
        <w:rPr>
          <w:rFonts w:hint="eastAsia"/>
        </w:rPr>
        <w:t>教育部编：《中外历史纲要（上）》，北</w:t>
      </w:r>
      <w:r>
        <w:rPr>
          <w:rFonts w:hint="eastAsia"/>
          <w:szCs w:val="22"/>
        </w:rPr>
        <w:t>京：人民教育出版社，</w:t>
      </w:r>
      <w:r>
        <w:rPr>
          <w:szCs w:val="22"/>
        </w:rPr>
        <w:t>2019</w:t>
      </w:r>
      <w:r>
        <w:rPr>
          <w:rFonts w:hint="eastAsia"/>
          <w:szCs w:val="22"/>
        </w:rPr>
        <w:t>年，第</w:t>
      </w:r>
      <w:r>
        <w:rPr>
          <w:szCs w:val="22"/>
        </w:rPr>
        <w:t>5-6</w:t>
      </w:r>
      <w:r>
        <w:rPr>
          <w:rFonts w:hint="eastAsia"/>
          <w:szCs w:val="22"/>
        </w:rPr>
        <w:t>页。</w:t>
      </w:r>
    </w:p>
  </w:endnote>
  <w:endnote w:id="8">
    <w:p>
      <w:pPr>
        <w:pStyle w:val="2"/>
      </w:pPr>
      <w:r>
        <w:rPr>
          <w:rStyle w:val="6"/>
        </w:rPr>
        <w:t>[9]</w:t>
      </w:r>
      <w:r>
        <w:t xml:space="preserve"> </w:t>
      </w:r>
      <w:r>
        <w:rPr>
          <w:rFonts w:hint="eastAsia" w:ascii="宋体" w:hAnsi="宋体"/>
        </w:rPr>
        <w:t>李琳之：元中国时代：公元前</w:t>
      </w:r>
      <w:r>
        <w:rPr>
          <w:rFonts w:ascii="宋体" w:hAnsi="宋体"/>
        </w:rPr>
        <w:t>2300—</w:t>
      </w:r>
      <w:r>
        <w:rPr>
          <w:rFonts w:hint="eastAsia" w:ascii="宋体" w:hAnsi="宋体"/>
        </w:rPr>
        <w:t>前</w:t>
      </w:r>
      <w:r>
        <w:rPr>
          <w:rFonts w:ascii="宋体" w:hAnsi="宋体"/>
        </w:rPr>
        <w:t>1800</w:t>
      </w:r>
      <w:r>
        <w:rPr>
          <w:rFonts w:hint="eastAsia" w:ascii="宋体" w:hAnsi="宋体"/>
        </w:rPr>
        <w:t>年华夏大地场景，北京：商务印书馆，</w:t>
      </w:r>
      <w:r>
        <w:rPr>
          <w:rFonts w:ascii="宋体" w:hAnsi="宋体"/>
        </w:rPr>
        <w:t>2020</w:t>
      </w:r>
      <w:r>
        <w:rPr>
          <w:rFonts w:hint="eastAsia" w:ascii="宋体" w:hAnsi="宋体"/>
        </w:rPr>
        <w:t>年，第</w:t>
      </w:r>
      <w:r>
        <w:rPr>
          <w:rFonts w:ascii="宋体" w:hAnsi="宋体"/>
        </w:rPr>
        <w:t>4</w:t>
      </w:r>
      <w:r>
        <w:rPr>
          <w:rFonts w:hint="eastAsia" w:ascii="宋体" w:hAnsi="宋体"/>
        </w:rPr>
        <w:t>页。</w:t>
      </w:r>
    </w:p>
  </w:endnote>
  <w:endnote w:id="9">
    <w:p>
      <w:pPr>
        <w:pStyle w:val="2"/>
      </w:pPr>
      <w:r>
        <w:rPr>
          <w:rStyle w:val="6"/>
        </w:rPr>
        <w:t>[10]</w:t>
      </w:r>
      <w:r>
        <w:t xml:space="preserve"> </w:t>
      </w:r>
      <w:r>
        <w:rPr>
          <w:rFonts w:hint="eastAsia"/>
        </w:rPr>
        <w:t>杨海中：《图说河洛文化》，郑州：河南人民出版社，</w:t>
      </w:r>
      <w:r>
        <w:t>2007</w:t>
      </w:r>
      <w:r>
        <w:rPr>
          <w:rFonts w:hint="eastAsia"/>
        </w:rPr>
        <w:t>年，第</w:t>
      </w:r>
      <w:r>
        <w:t>13</w:t>
      </w:r>
      <w:r>
        <w:rPr>
          <w:rFonts w:hint="eastAsia"/>
        </w:rPr>
        <w:t>页。</w:t>
      </w:r>
    </w:p>
  </w:endnote>
  <w:endnote w:id="10">
    <w:p>
      <w:pPr>
        <w:pStyle w:val="2"/>
      </w:pPr>
      <w:r>
        <w:rPr>
          <w:rStyle w:val="6"/>
        </w:rPr>
        <w:t>[11]</w:t>
      </w:r>
      <w:r>
        <w:t xml:space="preserve"> </w:t>
      </w:r>
      <w:r>
        <w:rPr>
          <w:rFonts w:hint="eastAsia" w:ascii="宋体" w:hAnsi="宋体"/>
        </w:rPr>
        <w:t>李琳之：《元中国时代：公元前</w:t>
      </w:r>
      <w:r>
        <w:rPr>
          <w:rFonts w:ascii="宋体" w:hAnsi="宋体"/>
        </w:rPr>
        <w:t>2300—</w:t>
      </w:r>
      <w:r>
        <w:rPr>
          <w:rFonts w:hint="eastAsia" w:ascii="宋体" w:hAnsi="宋体"/>
        </w:rPr>
        <w:t>前</w:t>
      </w:r>
      <w:r>
        <w:rPr>
          <w:rFonts w:ascii="宋体" w:hAnsi="宋体"/>
        </w:rPr>
        <w:t>1800</w:t>
      </w:r>
      <w:r>
        <w:rPr>
          <w:rFonts w:hint="eastAsia" w:ascii="宋体" w:hAnsi="宋体"/>
        </w:rPr>
        <w:t>年华夏大地场景》，第</w:t>
      </w:r>
      <w:r>
        <w:rPr>
          <w:rFonts w:ascii="宋体" w:hAnsi="宋体"/>
        </w:rPr>
        <w:t>14</w:t>
      </w:r>
      <w:r>
        <w:rPr>
          <w:rFonts w:hint="eastAsia" w:ascii="宋体" w:hAnsi="宋体"/>
        </w:rPr>
        <w:t>页。</w:t>
      </w:r>
    </w:p>
  </w:endnote>
  <w:endnote w:id="11">
    <w:p>
      <w:pPr>
        <w:pStyle w:val="2"/>
      </w:pPr>
      <w:r>
        <w:rPr>
          <w:rStyle w:val="6"/>
        </w:rPr>
        <w:t>[12]</w:t>
      </w:r>
      <w:r>
        <w:t xml:space="preserve"> </w:t>
      </w:r>
      <w:r>
        <w:rPr>
          <w:rFonts w:hint="eastAsia"/>
        </w:rPr>
        <w:t>（澳）</w:t>
      </w:r>
      <w:r>
        <w:rPr>
          <w:rFonts w:hint="eastAsia"/>
          <w:szCs w:val="22"/>
        </w:rPr>
        <w:t>塔克</w:t>
      </w:r>
      <w:r>
        <w:rPr>
          <w:rFonts w:hint="eastAsia"/>
        </w:rPr>
        <w:t>尔：《我们关于过去的知识：史学哲学》，北京：北京师范大学出版社，</w:t>
      </w:r>
      <w:r>
        <w:t>2008</w:t>
      </w:r>
      <w:r>
        <w:rPr>
          <w:rFonts w:hint="eastAsia"/>
        </w:rPr>
        <w:t>年，第</w:t>
      </w:r>
      <w:r>
        <w:t>99</w:t>
      </w:r>
      <w:r>
        <w:rPr>
          <w:rFonts w:hint="eastAsia"/>
        </w:rPr>
        <w:t>页。</w:t>
      </w:r>
    </w:p>
  </w:endnote>
  <w:endnote w:id="12">
    <w:p>
      <w:pPr>
        <w:pStyle w:val="2"/>
      </w:pPr>
      <w:r>
        <w:rPr>
          <w:rStyle w:val="6"/>
        </w:rPr>
        <w:t>[13]</w:t>
      </w:r>
      <w:r>
        <w:t xml:space="preserve"> </w:t>
      </w:r>
      <w:r>
        <w:rPr>
          <w:rFonts w:hint="eastAsia"/>
        </w:rPr>
        <w:t>（美）罗泰：《宗子维城：从考古材料的角度看公元前</w:t>
      </w:r>
      <w:r>
        <w:t>1000</w:t>
      </w:r>
      <w:r>
        <w:rPr>
          <w:rFonts w:hint="eastAsia"/>
        </w:rPr>
        <w:t>至前</w:t>
      </w:r>
      <w:r>
        <w:t>250</w:t>
      </w:r>
      <w:r>
        <w:rPr>
          <w:rFonts w:hint="eastAsia"/>
        </w:rPr>
        <w:t>年的中国社会》，第</w:t>
      </w:r>
      <w:r>
        <w:t>1</w:t>
      </w:r>
      <w:r>
        <w:rPr>
          <w:rFonts w:hint="eastAsia"/>
        </w:rPr>
        <w:t>页。</w:t>
      </w:r>
    </w:p>
  </w:endnote>
  <w:endnote w:id="13">
    <w:p>
      <w:pPr>
        <w:pStyle w:val="2"/>
      </w:pPr>
      <w:r>
        <w:rPr>
          <w:rStyle w:val="6"/>
        </w:rPr>
        <w:t>[14]</w:t>
      </w:r>
      <w:r>
        <w:t xml:space="preserve"> </w:t>
      </w:r>
      <w:r>
        <w:rPr>
          <w:rFonts w:hint="eastAsia" w:ascii="宋体" w:hAnsi="宋体"/>
        </w:rPr>
        <w:t>李峰：《西周的政体：中国早期官僚制度和国家》，北京：三连书店，</w:t>
      </w:r>
      <w:r>
        <w:rPr>
          <w:rFonts w:ascii="宋体" w:hAnsi="宋体"/>
        </w:rPr>
        <w:t>2008</w:t>
      </w:r>
      <w:r>
        <w:rPr>
          <w:rFonts w:hint="eastAsia" w:ascii="宋体" w:hAnsi="宋体"/>
        </w:rPr>
        <w:t>年，第Ⅳ页。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97EF8"/>
    <w:multiLevelType w:val="multilevel"/>
    <w:tmpl w:val="18C97EF8"/>
    <w:lvl w:ilvl="0" w:tentative="0">
      <w:start w:val="1"/>
      <w:numFmt w:val="japaneseCounting"/>
      <w:lvlText w:val="%1．"/>
      <w:lvlJc w:val="left"/>
      <w:pPr>
        <w:tabs>
          <w:tab w:val="left" w:pos="420"/>
        </w:tabs>
        <w:ind w:left="420" w:hanging="420"/>
      </w:pPr>
      <w:rPr>
        <w:rFonts w:ascii="Calibri" w:hAnsi="Calibri" w:eastAsia="宋体"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documentProtection w:enforcement="0"/>
  <w:defaultTabStop w:val="420"/>
  <w:drawingGridVerticalSpacing w:val="156"/>
  <w:noPunctuationKerning w:val="1"/>
  <w:characterSpacingControl w:val="compressPunctuation"/>
  <w:noLineBreaksAfter w:lang="zh-CN" w:val="$([{£¥·‘“〈《「『【〔〖〝﹙﹛﹝＄（．［｛￡￥"/>
  <w:noLineBreaksBefore w:lang="zh-CN" w:val="!%),.:;&gt;?]}¢¨°·ˇˉ―‖’”…‰′″›℃∶、。〃〉》」』】〕〗〞︶︺︾﹀﹄﹚﹜﹞！＂％＇），．：；？］｀｜｝～￠"/>
  <w:endnotePr>
    <w:numFmt w:val="decimal"/>
    <w:endnote w:id="28"/>
    <w:endnote w:id="29"/>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142CF"/>
    <w:rsid w:val="00044C0E"/>
    <w:rsid w:val="00070F36"/>
    <w:rsid w:val="0010766F"/>
    <w:rsid w:val="0016285F"/>
    <w:rsid w:val="001672FC"/>
    <w:rsid w:val="001E7938"/>
    <w:rsid w:val="001F616F"/>
    <w:rsid w:val="00215317"/>
    <w:rsid w:val="00240115"/>
    <w:rsid w:val="00245646"/>
    <w:rsid w:val="002578A9"/>
    <w:rsid w:val="002918C7"/>
    <w:rsid w:val="002974E5"/>
    <w:rsid w:val="002B2A3C"/>
    <w:rsid w:val="002C4BA2"/>
    <w:rsid w:val="002D1518"/>
    <w:rsid w:val="002F4BE7"/>
    <w:rsid w:val="00373D08"/>
    <w:rsid w:val="003E41C2"/>
    <w:rsid w:val="00486FD4"/>
    <w:rsid w:val="004D085F"/>
    <w:rsid w:val="005441F6"/>
    <w:rsid w:val="00550893"/>
    <w:rsid w:val="00561AF7"/>
    <w:rsid w:val="005A62E4"/>
    <w:rsid w:val="0064745C"/>
    <w:rsid w:val="006B2110"/>
    <w:rsid w:val="006B77A7"/>
    <w:rsid w:val="00710BBD"/>
    <w:rsid w:val="007132E5"/>
    <w:rsid w:val="00722A5D"/>
    <w:rsid w:val="0075027C"/>
    <w:rsid w:val="00793C1A"/>
    <w:rsid w:val="00857285"/>
    <w:rsid w:val="00866187"/>
    <w:rsid w:val="00871299"/>
    <w:rsid w:val="00897E7B"/>
    <w:rsid w:val="008A197C"/>
    <w:rsid w:val="008C7135"/>
    <w:rsid w:val="008D2D7B"/>
    <w:rsid w:val="008D6EA1"/>
    <w:rsid w:val="008E1215"/>
    <w:rsid w:val="008F56FB"/>
    <w:rsid w:val="00916473"/>
    <w:rsid w:val="009A541B"/>
    <w:rsid w:val="009A7AA4"/>
    <w:rsid w:val="00A37CCA"/>
    <w:rsid w:val="00A54F5F"/>
    <w:rsid w:val="00A637AE"/>
    <w:rsid w:val="00AB06D4"/>
    <w:rsid w:val="00AB6561"/>
    <w:rsid w:val="00B11F6F"/>
    <w:rsid w:val="00C021E5"/>
    <w:rsid w:val="00C60E0A"/>
    <w:rsid w:val="00C66693"/>
    <w:rsid w:val="00CA3472"/>
    <w:rsid w:val="00CB1545"/>
    <w:rsid w:val="00CC436B"/>
    <w:rsid w:val="00CE2FDB"/>
    <w:rsid w:val="00D61D2B"/>
    <w:rsid w:val="00DB7FF2"/>
    <w:rsid w:val="00E30241"/>
    <w:rsid w:val="00E433E4"/>
    <w:rsid w:val="00E6179C"/>
    <w:rsid w:val="00F56F43"/>
    <w:rsid w:val="00FA7143"/>
    <w:rsid w:val="00FB1F02"/>
    <w:rsid w:val="00FB30A6"/>
    <w:rsid w:val="00FC6432"/>
    <w:rsid w:val="014142CF"/>
    <w:rsid w:val="0178683F"/>
    <w:rsid w:val="021A3024"/>
    <w:rsid w:val="070A3FF1"/>
    <w:rsid w:val="0A77531B"/>
    <w:rsid w:val="0B477785"/>
    <w:rsid w:val="0BBB21BC"/>
    <w:rsid w:val="0C9D56B1"/>
    <w:rsid w:val="0E4403B0"/>
    <w:rsid w:val="0E806039"/>
    <w:rsid w:val="1306733F"/>
    <w:rsid w:val="15D643CB"/>
    <w:rsid w:val="17423086"/>
    <w:rsid w:val="196D5755"/>
    <w:rsid w:val="1AF24453"/>
    <w:rsid w:val="1BA32880"/>
    <w:rsid w:val="1D5B7522"/>
    <w:rsid w:val="1E141A13"/>
    <w:rsid w:val="1EC018EC"/>
    <w:rsid w:val="1F081CFC"/>
    <w:rsid w:val="215328EF"/>
    <w:rsid w:val="2172136C"/>
    <w:rsid w:val="235C1C3D"/>
    <w:rsid w:val="260265BB"/>
    <w:rsid w:val="27845C98"/>
    <w:rsid w:val="27A10D19"/>
    <w:rsid w:val="27A4762D"/>
    <w:rsid w:val="28006DAF"/>
    <w:rsid w:val="28F42A74"/>
    <w:rsid w:val="29AE424B"/>
    <w:rsid w:val="29DB1EE4"/>
    <w:rsid w:val="2C295127"/>
    <w:rsid w:val="2D5D0406"/>
    <w:rsid w:val="302E74CB"/>
    <w:rsid w:val="327325ED"/>
    <w:rsid w:val="335A1136"/>
    <w:rsid w:val="3368288D"/>
    <w:rsid w:val="35432AA1"/>
    <w:rsid w:val="35745D8C"/>
    <w:rsid w:val="37EB3C13"/>
    <w:rsid w:val="39AF0946"/>
    <w:rsid w:val="3C553555"/>
    <w:rsid w:val="3CDF54CE"/>
    <w:rsid w:val="3F05160F"/>
    <w:rsid w:val="404E47E4"/>
    <w:rsid w:val="405B63B5"/>
    <w:rsid w:val="40F876A9"/>
    <w:rsid w:val="416635F4"/>
    <w:rsid w:val="430334B1"/>
    <w:rsid w:val="43212AA6"/>
    <w:rsid w:val="43664C2B"/>
    <w:rsid w:val="4378254C"/>
    <w:rsid w:val="43D31403"/>
    <w:rsid w:val="443A2520"/>
    <w:rsid w:val="45A32560"/>
    <w:rsid w:val="472D55EB"/>
    <w:rsid w:val="4A98365C"/>
    <w:rsid w:val="4CE84419"/>
    <w:rsid w:val="4D20318B"/>
    <w:rsid w:val="4DA26312"/>
    <w:rsid w:val="4E3F3A26"/>
    <w:rsid w:val="4FF01EB3"/>
    <w:rsid w:val="519E3DA2"/>
    <w:rsid w:val="52AA3B01"/>
    <w:rsid w:val="539F7EC2"/>
    <w:rsid w:val="57523EBE"/>
    <w:rsid w:val="59D6439C"/>
    <w:rsid w:val="5ACE4F09"/>
    <w:rsid w:val="5BC64073"/>
    <w:rsid w:val="5CAD3473"/>
    <w:rsid w:val="5DF16248"/>
    <w:rsid w:val="5F44425A"/>
    <w:rsid w:val="5FE84CD0"/>
    <w:rsid w:val="60F150BC"/>
    <w:rsid w:val="61735513"/>
    <w:rsid w:val="636009E5"/>
    <w:rsid w:val="659D1C3A"/>
    <w:rsid w:val="66183E4D"/>
    <w:rsid w:val="67224676"/>
    <w:rsid w:val="696160AC"/>
    <w:rsid w:val="6C530873"/>
    <w:rsid w:val="6DB42775"/>
    <w:rsid w:val="6E7B4C10"/>
    <w:rsid w:val="6F2F67EF"/>
    <w:rsid w:val="700323E8"/>
    <w:rsid w:val="707B6673"/>
    <w:rsid w:val="741953E8"/>
    <w:rsid w:val="74B84804"/>
    <w:rsid w:val="760838DC"/>
    <w:rsid w:val="76587837"/>
    <w:rsid w:val="76976855"/>
    <w:rsid w:val="7C2D7BF5"/>
    <w:rsid w:val="7C9C0C22"/>
    <w:rsid w:val="7D426C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nhideWhenUsed="0"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8"/>
    <w:semiHidden/>
    <w:uiPriority w:val="99"/>
    <w:pPr>
      <w:snapToGrid w:val="0"/>
      <w:jc w:val="left"/>
    </w:pPr>
  </w:style>
  <w:style w:type="paragraph" w:styleId="3">
    <w:name w:val="footer"/>
    <w:basedOn w:val="1"/>
    <w:link w:val="9"/>
    <w:uiPriority w:val="99"/>
    <w:pPr>
      <w:tabs>
        <w:tab w:val="center" w:pos="4153"/>
        <w:tab w:val="right" w:pos="8306"/>
      </w:tabs>
      <w:snapToGrid w:val="0"/>
      <w:jc w:val="left"/>
    </w:pPr>
    <w:rPr>
      <w:sz w:val="18"/>
      <w:szCs w:val="18"/>
    </w:rPr>
  </w:style>
  <w:style w:type="character" w:styleId="6">
    <w:name w:val="endnote reference"/>
    <w:basedOn w:val="5"/>
    <w:semiHidden/>
    <w:uiPriority w:val="99"/>
    <w:rPr>
      <w:rFonts w:cs="Times New Roman"/>
      <w:vertAlign w:val="superscript"/>
    </w:rPr>
  </w:style>
  <w:style w:type="character" w:styleId="7">
    <w:name w:val="page number"/>
    <w:basedOn w:val="5"/>
    <w:uiPriority w:val="99"/>
    <w:rPr>
      <w:rFonts w:cs="Times New Roman"/>
    </w:rPr>
  </w:style>
  <w:style w:type="character" w:customStyle="1" w:styleId="8">
    <w:name w:val="Endnote Text Char"/>
    <w:basedOn w:val="5"/>
    <w:link w:val="2"/>
    <w:semiHidden/>
    <w:uiPriority w:val="99"/>
    <w:rPr>
      <w:rFonts w:ascii="Calibri" w:hAnsi="Calibri"/>
      <w:szCs w:val="24"/>
    </w:rPr>
  </w:style>
  <w:style w:type="character" w:customStyle="1" w:styleId="9">
    <w:name w:val="Footer Char"/>
    <w:basedOn w:val="5"/>
    <w:link w:val="3"/>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5</TotalTime>
  <Pages>8</Pages>
  <Words>7743</Words>
  <Characters>7903</Characters>
  <DocSecurity>0</DocSecurity>
  <Lines>0</Lines>
  <Paragraphs>0</Paragraphs>
  <ScaleCrop>false</ScaleCrop>
  <LinksUpToDate>false</LinksUpToDate>
  <CharactersWithSpaces>7918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2021-02-05T11:00:00Z</dcterms:created>
  <dcterms:modified xsi:type="dcterms:W3CDTF">2022-03-30T08:21:46Z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41696379EEF94EED95B0127340D1BC89</vt:lpwstr>
  </property>
</Properties>
</file>