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126" w:line="560" w:lineRule="exact"/>
        <w:ind w:left="29"/>
        <w:textAlignment w:val="baseline"/>
        <w:rPr>
          <w:rFonts w:hint="eastAsia" w:ascii="方正大标宋简体" w:hAnsi="方正大标宋简体" w:eastAsia="方正大标宋简体" w:cs="方正大标宋简体"/>
          <w:b w:val="0"/>
          <w:bCs w:val="0"/>
          <w:color w:val="000000" w:themeColor="text1"/>
          <w:spacing w:val="-6"/>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附件1</w:t>
      </w:r>
    </w:p>
    <w:p>
      <w:pPr>
        <w:keepNext w:val="0"/>
        <w:keepLines w:val="0"/>
        <w:pageBreakBefore w:val="0"/>
        <w:widowControl/>
        <w:kinsoku w:val="0"/>
        <w:wordWrap/>
        <w:overflowPunct/>
        <w:topLinePunct w:val="0"/>
        <w:autoSpaceDE w:val="0"/>
        <w:autoSpaceDN w:val="0"/>
        <w:bidi w:val="0"/>
        <w:adjustRightInd w:val="0"/>
        <w:snapToGrid w:val="0"/>
        <w:spacing w:before="143" w:line="560" w:lineRule="exact"/>
        <w:jc w:val="center"/>
        <w:textAlignment w:val="baseline"/>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pacing w:val="-6"/>
          <w:sz w:val="44"/>
          <w:szCs w:val="44"/>
          <w:lang w:eastAsia="zh-CN"/>
          <w14:textFill>
            <w14:solidFill>
              <w14:schemeClr w14:val="tx1"/>
            </w14:solidFill>
          </w14:textFill>
        </w:rPr>
        <w:t>仪征</w:t>
      </w:r>
      <w:r>
        <w:rPr>
          <w:rFonts w:hint="eastAsia" w:ascii="方正大标宋简体" w:hAnsi="方正大标宋简体" w:eastAsia="方正大标宋简体" w:cs="方正大标宋简体"/>
          <w:b w:val="0"/>
          <w:bCs w:val="0"/>
          <w:color w:val="000000" w:themeColor="text1"/>
          <w:spacing w:val="-6"/>
          <w:sz w:val="44"/>
          <w:szCs w:val="44"/>
          <w14:textFill>
            <w14:solidFill>
              <w14:schemeClr w14:val="tx1"/>
            </w14:solidFill>
          </w14:textFill>
        </w:rPr>
        <w:t>市优秀文艺成果奖励办法</w:t>
      </w:r>
    </w:p>
    <w:p>
      <w:pPr>
        <w:keepNext w:val="0"/>
        <w:keepLines w:val="0"/>
        <w:pageBreakBefore w:val="0"/>
        <w:widowControl/>
        <w:kinsoku w:val="0"/>
        <w:wordWrap/>
        <w:overflowPunct/>
        <w:topLinePunct w:val="0"/>
        <w:autoSpaceDE w:val="0"/>
        <w:autoSpaceDN w:val="0"/>
        <w:bidi w:val="0"/>
        <w:adjustRightInd w:val="0"/>
        <w:snapToGrid w:val="0"/>
        <w:spacing w:before="198" w:line="560" w:lineRule="exact"/>
        <w:jc w:val="center"/>
        <w:textAlignment w:val="baseline"/>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(2023年修订版)</w:t>
      </w:r>
    </w:p>
    <w:p>
      <w:pPr>
        <w:keepNext w:val="0"/>
        <w:keepLines w:val="0"/>
        <w:pageBreakBefore w:val="0"/>
        <w:widowControl/>
        <w:kinsoku w:val="0"/>
        <w:wordWrap/>
        <w:overflowPunct/>
        <w:topLinePunct w:val="0"/>
        <w:autoSpaceDE w:val="0"/>
        <w:autoSpaceDN w:val="0"/>
        <w:bidi w:val="0"/>
        <w:adjustRightInd w:val="0"/>
        <w:snapToGrid w:val="0"/>
        <w:spacing w:before="198" w:line="560" w:lineRule="exact"/>
        <w:ind w:left="3145"/>
        <w:textAlignment w:val="baseline"/>
        <w:rPr>
          <w:rFonts w:hint="eastAsia" w:ascii="楷体_GB2312" w:hAnsi="楷体_GB2312" w:eastAsia="楷体_GB2312" w:cs="楷体_GB2312"/>
          <w:color w:val="000000" w:themeColor="text1"/>
          <w:sz w:val="32"/>
          <w:szCs w:val="32"/>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 xml:space="preserve"> 坚持以习近平新时代中国特色社会主义思想为指</w:t>
      </w:r>
      <w:r>
        <w:rPr>
          <w:rFonts w:hint="eastAsia" w:ascii="仿宋_GB2312" w:hAnsi="仿宋_GB2312" w:eastAsia="仿宋_GB2312" w:cs="仿宋_GB2312"/>
          <w:color w:val="000000" w:themeColor="text1"/>
          <w:sz w:val="32"/>
          <w:szCs w:val="32"/>
          <w:lang w:eastAsia="zh-CN"/>
          <w14:textFill>
            <w14:solidFill>
              <w14:schemeClr w14:val="tx1"/>
            </w14:solidFill>
          </w14:textFill>
        </w:rPr>
        <w:t>导，</w:t>
      </w:r>
      <w:r>
        <w:rPr>
          <w:rFonts w:hint="eastAsia" w:ascii="仿宋_GB2312" w:hAnsi="仿宋_GB2312" w:eastAsia="仿宋_GB2312" w:cs="仿宋_GB2312"/>
          <w:color w:val="000000" w:themeColor="text1"/>
          <w:sz w:val="32"/>
          <w:szCs w:val="32"/>
          <w14:textFill>
            <w14:solidFill>
              <w14:schemeClr w14:val="tx1"/>
            </w14:solidFill>
          </w14:textFill>
        </w:rPr>
        <w:t>全面贯彻党的二十大精神，深入学习贯彻习近平文化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思想，</w:t>
      </w:r>
      <w:r>
        <w:rPr>
          <w:rFonts w:hint="eastAsia" w:ascii="仿宋_GB2312" w:hAnsi="仿宋_GB2312" w:eastAsia="仿宋_GB2312" w:cs="仿宋_GB2312"/>
          <w:color w:val="000000" w:themeColor="text1"/>
          <w:sz w:val="32"/>
          <w:szCs w:val="32"/>
          <w14:textFill>
            <w14:solidFill>
              <w14:schemeClr w14:val="tx1"/>
            </w14:solidFill>
          </w14:textFill>
        </w:rPr>
        <w:t>认真贯彻落实省市关于文化工作的各项部署，激发广大文艺工作者的积极性和创造性，努力提升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仪征</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文艺原创能力，不断推出更多增强人民精神力量的优秀作品，培育造就一批文学艺术家和文化文艺人才队伍，加快构筑文艺精品创作高地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特制定本办法。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本办法主要奖励在全国性、全省性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扬州市</w:t>
      </w:r>
      <w:r>
        <w:rPr>
          <w:rFonts w:hint="eastAsia" w:ascii="仿宋_GB2312" w:hAnsi="仿宋_GB2312" w:eastAsia="仿宋_GB2312" w:cs="仿宋_GB2312"/>
          <w:color w:val="000000" w:themeColor="text1"/>
          <w:sz w:val="32"/>
          <w:szCs w:val="32"/>
          <w14:textFill>
            <w14:solidFill>
              <w14:schemeClr w14:val="tx1"/>
            </w14:solidFill>
          </w14:textFill>
        </w:rPr>
        <w:t>重要文艺奖项中获奖以及在国内外刊播展演产生重大影响的优秀文艺成果。</w:t>
      </w:r>
    </w:p>
    <w:p>
      <w:pPr>
        <w:pStyle w:val="9"/>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奖励范围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全国性重要文艺奖项是指中共中央宣传部《全国性文艺评奖改革方案》中所认可的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23项</w:t>
      </w:r>
      <w:r>
        <w:rPr>
          <w:rFonts w:hint="eastAsia" w:ascii="仿宋_GB2312" w:hAnsi="仿宋_GB2312" w:eastAsia="仿宋_GB2312" w:cs="仿宋_GB2312"/>
          <w:color w:val="000000" w:themeColor="text1"/>
          <w:sz w:val="32"/>
          <w:szCs w:val="32"/>
          <w14:textFill>
            <w14:solidFill>
              <w14:schemeClr w14:val="tx1"/>
            </w14:solidFill>
          </w14:textFill>
        </w:rPr>
        <w:t>常设全国性文艺奖项。包括：精神文明建设“五个一工程”奖、中国文化艺术政府奖（文华奖、群星奖、动漫奖）、中国广播影视大奖（中国电影华表奖、中国电视剧飞天奖、中国广播电视节目奖）、中国戏剧奖、中国电影金鸡奖、大众电影百花奖、中国音乐金钟奖、中国美术奖、中国曲艺牡丹奖、中国舞蹈荷花奖、中国民间文艺山花奖、中国摄影金像奖、中国书法兰亭奖、中国杂技金菊奖、中国电视金鹰奖、茅盾文学奖、鲁迅文学奖、全国优秀儿童文学奖、全国少数民族创作“骏马奖”、上海国际电影电视节“金爵奖”“白玉兰奖”、中国吴桥国际杂技艺术节“金狮奖”、中国国际马戏节“金虎奖”及丝绸之路国际艺术节获奖文艺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全省性重要文艺奖项是指江苏省精神文明建设“五个一”工程奖、紫金山文学奖、百家金陵画展、江苏省文华奖、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江苏</w:t>
      </w:r>
      <w:r>
        <w:rPr>
          <w:rFonts w:hint="eastAsia" w:ascii="仿宋_GB2312" w:hAnsi="仿宋_GB2312" w:eastAsia="仿宋_GB2312" w:cs="仿宋_GB2312"/>
          <w:b w:val="0"/>
          <w:bCs w:val="0"/>
          <w:color w:val="000000" w:themeColor="text1"/>
          <w:sz w:val="32"/>
          <w:szCs w:val="32"/>
          <w14:textFill>
            <w14:solidFill>
              <w14:schemeClr w14:val="tx1"/>
            </w14:solidFill>
          </w14:textFill>
        </w:rPr>
        <w:t>省紫金文艺评论奖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扬州市重要文艺奖项是指扬州市精神文明建设“五个一”工程奖。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在国内外刊播展演产生重大影响的优秀文艺成果主要指在国内外重要平台展映、展播、展示的优秀成果。主要有：</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、在中央广播电视总台以及江苏广播电视总台播出的电影、电视剧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纪录片、</w:t>
      </w:r>
      <w:r>
        <w:rPr>
          <w:rFonts w:hint="eastAsia" w:ascii="仿宋_GB2312" w:hAnsi="仿宋_GB2312" w:eastAsia="仿宋_GB2312" w:cs="仿宋_GB2312"/>
          <w:color w:val="000000" w:themeColor="text1"/>
          <w:sz w:val="32"/>
          <w:szCs w:val="32"/>
          <w:lang w:eastAsia="zh-CN"/>
          <w14:textFill>
            <w14:solidFill>
              <w14:schemeClr w14:val="tx1"/>
            </w14:solidFill>
          </w14:textFill>
        </w:rPr>
        <w:t>电视动画片</w:t>
      </w:r>
      <w:r>
        <w:rPr>
          <w:rFonts w:hint="eastAsia" w:ascii="仿宋_GB2312" w:hAnsi="仿宋_GB2312" w:eastAsia="仿宋_GB2312" w:cs="仿宋_GB2312"/>
          <w:color w:val="000000" w:themeColor="text1"/>
          <w:sz w:val="32"/>
          <w:szCs w:val="32"/>
          <w14:textFill>
            <w14:solidFill>
              <w14:schemeClr w14:val="tx1"/>
            </w14:solidFill>
          </w14:textFill>
        </w:rPr>
        <w:t>、广播剧。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70" w:right="122" w:firstLine="630"/>
        <w:textAlignment w:val="baseline"/>
        <w:rPr>
          <w:rFonts w:hint="eastAsia" w:ascii="仿宋_GB2312" w:hAnsi="仿宋_GB2312" w:eastAsia="仿宋_GB2312" w:cs="仿宋_GB2312"/>
          <w:b/>
          <w:bCs/>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2、在中国艺术节、中国戏剧节、中国曲艺节、金狮奖全国木偶皮影剧（节）目展演、中国舞蹈节等国家级表演类平台展</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演，</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以及在江苏省文联及各文艺家协会主办的省级表演类平台展演，</w:t>
      </w: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或年度商业演出场次超过20场、公益演出场次超过30场的舞台剧等。拟申报的舞台剧需在“江苏文艺成果申报”平台上传资料并审核通过。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、在国内重点文学期刊、知名文学期刊发表，或被知名文学选刊选登的文学作品；在重点文学评论期刊发表关于仪征作家作品的文学评论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default" w:ascii="仿宋_GB2312" w:hAnsi="仿宋_GB2312" w:eastAsia="仿宋_GB2312" w:cs="仿宋_GB2312"/>
          <w:color w:val="000000" w:themeColor="text1"/>
          <w:sz w:val="32"/>
          <w:szCs w:val="32"/>
          <w14:textFill>
            <w14:solidFill>
              <w14:schemeClr w14:val="tx1"/>
            </w14:solidFill>
          </w14:textFill>
        </w:rPr>
        <w:t>在中国文联及美术、书法、摄影文艺家协会主办的国家届次展，中国文联及美术、书法、摄影文艺家协会独立举办的展览中获奖或展示的作品；在江苏省文联及美术、书法、摄影文艺家协会主办的省届次展</w:t>
      </w:r>
      <w:r>
        <w:rPr>
          <w:rFonts w:hint="eastAsia" w:ascii="仿宋_GB2312" w:hAnsi="仿宋_GB2312" w:eastAsia="仿宋_GB2312" w:cs="仿宋_GB2312"/>
          <w:color w:val="000000" w:themeColor="text1"/>
          <w:sz w:val="32"/>
          <w:szCs w:val="32"/>
          <w:lang w:eastAsia="zh-CN"/>
          <w14:textFill>
            <w14:solidFill>
              <w14:schemeClr w14:val="tx1"/>
            </w14:solidFill>
          </w14:textFill>
        </w:rPr>
        <w:t>，江苏省</w:t>
      </w:r>
      <w:r>
        <w:rPr>
          <w:rFonts w:hint="default" w:ascii="仿宋_GB2312" w:hAnsi="仿宋_GB2312" w:eastAsia="仿宋_GB2312" w:cs="仿宋_GB2312"/>
          <w:color w:val="000000" w:themeColor="text1"/>
          <w:sz w:val="32"/>
          <w:szCs w:val="32"/>
          <w14:textFill>
            <w14:solidFill>
              <w14:schemeClr w14:val="tx1"/>
            </w14:solidFill>
          </w14:textFill>
        </w:rPr>
        <w:t>文联及美术、书法、摄影文艺家协会独立举办的展览中获奖或展示的作品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在扬州市文联及美术、书法、摄影文艺家协会主办的扬州市级届次展中入展的作品。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受到扬州市以上政府及省以上宣传、文联、作协、文化、新闻出版广电部门命名表彰的先进集体和个人。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在国际公认的专业评奖和活动中获奖的先进集体、个人和作品。</w:t>
      </w:r>
      <w:r>
        <w:rPr>
          <w:rFonts w:ascii="仿宋_GB2312" w:hAnsi="仿宋_GB2312" w:eastAsia="仿宋_GB2312" w:cs="仿宋_GB2312"/>
          <w:color w:val="000000" w:themeColor="text1"/>
          <w:sz w:val="32"/>
          <w:szCs w:val="32"/>
          <w14:textFill>
            <w14:solidFill>
              <w14:schemeClr w14:val="tx1"/>
            </w14:solidFill>
          </w14:textFill>
        </w:rPr>
        <w:t xml:space="preserve"> </w:t>
      </w:r>
    </w:p>
    <w:p>
      <w:pPr>
        <w:pStyle w:val="9"/>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奖励范围适用于我市专业或业余文艺团体（仪征市注册登记或关系隶属仪征）及个人（仪征市户籍或个人房产在仪征市以及仪征市文联所属协会正式会员），创作发表（出版、演出、展览、播映）并荣获扬州市及以上重要文艺奖项的优秀文艺成果；获得扬州市政府及以上命名表彰的先进集体和个人；在中宣部、省委宣传部、扬州市委宣传部组织的临时性重大文化活动中获奖的先进集体、个人和优秀文艺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baseline"/>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奖励标准</w:t>
      </w:r>
    </w:p>
    <w:p>
      <w:pPr>
        <w:pStyle w:val="9"/>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在全国性重要文艺奖项评选中获奖作品的奖励标准：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、获得全国精神文明建设“五个一”工程奖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茅盾文学奖、鲁迅文学奖的作品，奖励</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获得中国文化艺术政府奖（文华奖、群星奖、动漫奖）、中国广播影视大奖（中国电影华表奖、中国电视剧飞天奖、中国广播电视节目奖）、中国戏剧奖、中国电影金鸡奖、大众电影百花奖、中国音乐金钟奖、中国美术奖、中国曲艺牡丹奖、中国舞蹈荷花奖、中国民间文艺山花奖、中国摄影金像奖、中国书法兰亭奖、中国杂技金菊奖、中国电视金鹰奖、全国优秀儿童文学奖、</w:t>
      </w:r>
      <w:r>
        <w:rPr>
          <w:rFonts w:hint="eastAsia" w:ascii="仿宋_GB2312" w:hAnsi="仿宋_GB2312" w:eastAsia="仿宋_GB2312" w:cs="仿宋_GB2312"/>
          <w:color w:val="000000" w:themeColor="text1"/>
          <w:sz w:val="32"/>
          <w:szCs w:val="32"/>
          <w:lang w:eastAsia="zh-CN"/>
          <w14:textFill>
            <w14:solidFill>
              <w14:schemeClr w14:val="tx1"/>
            </w14:solidFill>
          </w14:textFill>
        </w:rPr>
        <w:t>全国少数民族创作“</w:t>
      </w:r>
      <w:r>
        <w:rPr>
          <w:rFonts w:hint="eastAsia" w:ascii="仿宋_GB2312" w:hAnsi="仿宋_GB2312" w:eastAsia="仿宋_GB2312" w:cs="仿宋_GB2312"/>
          <w:color w:val="000000" w:themeColor="text1"/>
          <w:sz w:val="32"/>
          <w:szCs w:val="32"/>
          <w14:textFill>
            <w14:solidFill>
              <w14:schemeClr w14:val="tx1"/>
            </w14:solidFill>
          </w14:textFill>
        </w:rPr>
        <w:t>骏马奖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、上海国际电影电视节“金爵奖”“白玉兰奖”、中国吴桥国际杂技艺术节“金狮奖”、中国国际马戏节“金虎奖”及丝绸之路国际艺术节获奖的作品，奖励</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在全省性重要文艺奖项评选中获奖作品的奖励标准：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、获得江苏省精神文明建“五个一”工程奖的作品，奖励</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b w:val="0"/>
          <w:bCs w:val="0"/>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、获得紫金山文学奖的作品或个人，奖励</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获得百家金陵画展、江苏省文华奖、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江苏</w:t>
      </w:r>
      <w:r>
        <w:rPr>
          <w:rFonts w:hint="eastAsia" w:ascii="仿宋_GB2312" w:hAnsi="仿宋_GB2312" w:eastAsia="仿宋_GB2312" w:cs="仿宋_GB2312"/>
          <w:b w:val="0"/>
          <w:bCs w:val="0"/>
          <w:color w:val="000000" w:themeColor="text1"/>
          <w:sz w:val="32"/>
          <w:szCs w:val="32"/>
          <w14:textFill>
            <w14:solidFill>
              <w14:schemeClr w14:val="tx1"/>
            </w14:solidFill>
          </w14:textFill>
        </w:rPr>
        <w:t>省紫金文</w:t>
      </w:r>
      <w:r>
        <w:rPr>
          <w:rFonts w:hint="eastAsia" w:ascii="仿宋_GB2312" w:hAnsi="仿宋_GB2312" w:eastAsia="仿宋_GB2312" w:cs="仿宋_GB2312"/>
          <w:color w:val="000000" w:themeColor="text1"/>
          <w:sz w:val="32"/>
          <w:szCs w:val="32"/>
          <w14:textFill>
            <w14:solidFill>
              <w14:schemeClr w14:val="tx1"/>
            </w14:solidFill>
          </w14:textFill>
        </w:rPr>
        <w:t>艺评论奖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w:t>
      </w:r>
      <w:r>
        <w:rPr>
          <w:rFonts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奖金配套，配套奖金最低</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在扬州市重要文艺奖项评选中获奖作品的奖励标准：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获得扬州市精神文明建设“五个一”工程奖的作品，按奖金数</w:t>
      </w:r>
      <w:r>
        <w:rPr>
          <w:rFonts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配套奖励，配套奖金最低</w:t>
      </w:r>
      <w:r>
        <w:rPr>
          <w:rFonts w:ascii="仿宋_GB2312" w:hAnsi="仿宋_GB2312" w:eastAsia="仿宋_GB2312" w:cs="仿宋_GB2312"/>
          <w:color w:val="000000" w:themeColor="text1"/>
          <w:sz w:val="32"/>
          <w:szCs w:val="32"/>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在国内外刊播展演产生重大影响作品的奖励标准：</w:t>
      </w:r>
      <w:r>
        <w:rPr>
          <w:rFonts w:ascii="仿宋" w:hAnsi="仿宋" w:eastAsia="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 w:hAnsi="仿宋" w:eastAsia="仿宋"/>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电影、电视剧</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纪录片、</w:t>
      </w:r>
      <w:r>
        <w:rPr>
          <w:rFonts w:hint="eastAsia" w:ascii="楷体_GB2312" w:hAnsi="楷体_GB2312" w:eastAsia="楷体_GB2312" w:cs="楷体_GB2312"/>
          <w:color w:val="000000" w:themeColor="text1"/>
          <w:sz w:val="32"/>
          <w:szCs w:val="32"/>
          <w:lang w:eastAsia="zh-CN"/>
          <w14:textFill>
            <w14:solidFill>
              <w14:schemeClr w14:val="tx1"/>
            </w14:solidFill>
          </w14:textFill>
        </w:rPr>
        <w:t>电视动画片</w:t>
      </w:r>
      <w:r>
        <w:rPr>
          <w:rFonts w:hint="eastAsia" w:ascii="楷体_GB2312" w:hAnsi="楷体_GB2312" w:eastAsia="楷体_GB2312" w:cs="楷体_GB2312"/>
          <w:color w:val="000000" w:themeColor="text1"/>
          <w:sz w:val="32"/>
          <w:szCs w:val="32"/>
          <w14:textFill>
            <w14:solidFill>
              <w14:schemeClr w14:val="tx1"/>
            </w14:solidFill>
          </w14:textFill>
        </w:rPr>
        <w:t>、广播剧等原创作品：</w:t>
      </w:r>
      <w:r>
        <w:rPr>
          <w:rFonts w:hint="eastAsia" w:ascii="仿宋_GB2312" w:hAnsi="仿宋_GB2312" w:eastAsia="仿宋_GB2312" w:cs="仿宋_GB2312"/>
          <w:color w:val="000000" w:themeColor="text1"/>
          <w:sz w:val="32"/>
          <w:szCs w:val="32"/>
          <w14:textFill>
            <w14:solidFill>
              <w14:schemeClr w14:val="tx1"/>
            </w14:solidFill>
          </w14:textFill>
        </w:rPr>
        <w:t>在中央广播电视总台黄金时段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20:00—22:00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播出的，每部作品奖励</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万元，其他时段减半奖励；在江苏卫视、江苏电台综合广播黄金时段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20:00—22:00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播出的，奖励</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万元，其他时段减半奖励，连载按一部作品计算。</w:t>
      </w:r>
    </w:p>
    <w:p>
      <w:pPr>
        <w:pStyle w:val="2"/>
        <w:keepNext w:val="0"/>
        <w:keepLines w:val="0"/>
        <w:pageBreakBefore w:val="0"/>
        <w:wordWrap/>
        <w:overflowPunct/>
        <w:topLinePunct w:val="0"/>
        <w:bidi w:val="0"/>
        <w:adjustRightInd w:val="0"/>
        <w:snapToGrid w:val="0"/>
        <w:spacing w:line="560" w:lineRule="exact"/>
        <w:ind w:left="60" w:right="174" w:firstLine="619"/>
        <w:textAlignment w:val="baseline"/>
        <w:rPr>
          <w:b w:val="0"/>
          <w:bCs w:val="0"/>
          <w:color w:val="000000" w:themeColor="text1"/>
          <w:spacing w:val="10"/>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hAnsi="楷体_GB2312" w:eastAsia="楷体_GB2312" w:cs="楷体_GB2312"/>
          <w:color w:val="000000" w:themeColor="text1"/>
          <w:sz w:val="32"/>
          <w:szCs w:val="32"/>
          <w14:textFill>
            <w14:solidFill>
              <w14:schemeClr w14:val="tx1"/>
            </w14:solidFill>
          </w14:textFill>
        </w:rPr>
        <w:t>、戏剧、曲艺、舞台剧、木偶</w:t>
      </w:r>
      <w:r>
        <w:rPr>
          <w:rFonts w:hint="eastAsia" w:ascii="楷体_GB2312" w:hAnsi="楷体_GB2312" w:eastAsia="楷体_GB2312" w:cs="楷体_GB2312"/>
          <w:color w:val="000000" w:themeColor="text1"/>
          <w:sz w:val="32"/>
          <w:szCs w:val="32"/>
          <w:lang w:eastAsia="zh-CN"/>
          <w14:textFill>
            <w14:solidFill>
              <w14:schemeClr w14:val="tx1"/>
            </w14:solidFill>
          </w14:textFill>
        </w:rPr>
        <w:t>剧</w:t>
      </w:r>
      <w:r>
        <w:rPr>
          <w:rFonts w:hint="eastAsia" w:ascii="楷体_GB2312" w:hAnsi="楷体_GB2312" w:eastAsia="楷体_GB2312" w:cs="楷体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在中国艺术节、中国戏剧节、中国曲艺节、金狮奖全国木偶皮影剧（节）目</w:t>
      </w:r>
      <w:r>
        <w:rPr>
          <w:rFonts w:hint="eastAsia" w:ascii="仿宋_GB2312" w:hAnsi="仿宋_GB2312" w:eastAsia="仿宋_GB2312" w:cs="仿宋_GB2312"/>
          <w:color w:val="000000" w:themeColor="text1"/>
          <w:sz w:val="32"/>
          <w:szCs w:val="32"/>
          <w:lang w:eastAsia="zh-CN"/>
          <w14:textFill>
            <w14:solidFill>
              <w14:schemeClr w14:val="tx1"/>
            </w14:solidFill>
          </w14:textFill>
        </w:rPr>
        <w:t>展演、</w:t>
      </w:r>
      <w:r>
        <w:rPr>
          <w:rFonts w:hint="eastAsia" w:ascii="仿宋_GB2312" w:hAnsi="仿宋_GB2312" w:eastAsia="仿宋_GB2312" w:cs="仿宋_GB2312"/>
          <w:color w:val="000000" w:themeColor="text1"/>
          <w:sz w:val="32"/>
          <w:szCs w:val="32"/>
          <w14:textFill>
            <w14:solidFill>
              <w14:schemeClr w14:val="tx1"/>
            </w14:solidFill>
          </w14:textFill>
        </w:rPr>
        <w:t>中国舞蹈节等国家级表演类平台展演的作品，给予</w:t>
      </w:r>
      <w:r>
        <w:rPr>
          <w:rFonts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val="en-US" w:eastAsia="en-US" w:bidi="ar-SA"/>
          <w14:textFill>
            <w14:solidFill>
              <w14:schemeClr w14:val="tx1"/>
            </w14:solidFill>
          </w14:textFill>
        </w:rPr>
        <w:t>万元的奖励；在江苏省文联及各文艺家协会主办的省级表演类平台展演的作品，给予0.3-2万元的奖励。</w:t>
      </w: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年度商业演出场次超过20场的给予1</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3万元的演出补贴，年度公</w:t>
      </w:r>
      <w:r>
        <w:rPr>
          <w:b w:val="0"/>
          <w:bCs w:val="0"/>
          <w:color w:val="000000" w:themeColor="text1"/>
          <w:spacing w:val="10"/>
          <w:sz w:val="32"/>
          <w:szCs w:val="32"/>
          <w14:textFill>
            <w14:solidFill>
              <w14:schemeClr w14:val="tx1"/>
            </w14:solidFill>
          </w14:textFill>
        </w:rPr>
        <w:t>益演出场次超过30场的给予1</w:t>
      </w:r>
      <w:r>
        <w:rPr>
          <w:rFonts w:hint="eastAsia"/>
          <w:b w:val="0"/>
          <w:bCs w:val="0"/>
          <w:color w:val="000000" w:themeColor="text1"/>
          <w:spacing w:val="10"/>
          <w:sz w:val="32"/>
          <w:szCs w:val="32"/>
          <w:lang w:val="en-US" w:eastAsia="zh-CN"/>
          <w14:textFill>
            <w14:solidFill>
              <w14:schemeClr w14:val="tx1"/>
            </w14:solidFill>
          </w14:textFill>
        </w:rPr>
        <w:t>-</w:t>
      </w:r>
      <w:r>
        <w:rPr>
          <w:b w:val="0"/>
          <w:bCs w:val="0"/>
          <w:color w:val="000000" w:themeColor="text1"/>
          <w:spacing w:val="10"/>
          <w:sz w:val="32"/>
          <w:szCs w:val="32"/>
          <w14:textFill>
            <w14:solidFill>
              <w14:schemeClr w14:val="tx1"/>
            </w14:solidFill>
          </w14:textFill>
        </w:rPr>
        <w:t>3万元的演出补贴。</w:t>
      </w:r>
    </w:p>
    <w:p>
      <w:pPr>
        <w:pStyle w:val="2"/>
        <w:keepNext w:val="0"/>
        <w:keepLines w:val="0"/>
        <w:pageBreakBefore w:val="0"/>
        <w:numPr>
          <w:ilvl w:val="0"/>
          <w:numId w:val="1"/>
        </w:numPr>
        <w:wordWrap/>
        <w:overflowPunct/>
        <w:topLinePunct w:val="0"/>
        <w:bidi w:val="0"/>
        <w:adjustRightInd w:val="0"/>
        <w:snapToGrid w:val="0"/>
        <w:spacing w:line="560" w:lineRule="exact"/>
        <w:ind w:left="60" w:right="206" w:firstLine="619"/>
        <w:textAlignment w:val="baseline"/>
        <w:rPr>
          <w:rFonts w:hint="eastAsia" w:ascii="仿宋_GB2312" w:hAnsi="仿宋_GB2312" w:eastAsia="仿宋_GB2312" w:cs="仿宋_GB2312"/>
          <w:b w:val="0"/>
          <w:bCs w:val="0"/>
          <w:color w:val="000000" w:themeColor="text1"/>
          <w:spacing w:val="-4"/>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文学、文艺作品：</w:t>
      </w:r>
      <w:r>
        <w:rPr>
          <w:rFonts w:hint="eastAsia" w:ascii="仿宋_GB2312" w:hAnsi="仿宋_GB2312" w:eastAsia="仿宋_GB2312" w:cs="仿宋_GB2312"/>
          <w:b w:val="0"/>
          <w:bCs w:val="0"/>
          <w:color w:val="000000" w:themeColor="text1"/>
          <w:spacing w:val="-5"/>
          <w:sz w:val="32"/>
          <w:szCs w:val="32"/>
          <w14:textFill>
            <w14:solidFill>
              <w14:schemeClr w14:val="tx1"/>
            </w14:solidFill>
          </w14:textFill>
        </w:rPr>
        <w:t>在《人民文学》发表的文学作品，予以</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同稿双酬奖励；在其它国内重点文学期刊、知名文学期刊或</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选刊发表的文学作品，在重点文学评论期刊发表关于</w:t>
      </w:r>
      <w:r>
        <w:rPr>
          <w:rFonts w:hint="eastAsia" w:ascii="仿宋_GB2312" w:hAnsi="仿宋_GB2312" w:eastAsia="仿宋_GB2312" w:cs="仿宋_GB2312"/>
          <w:b w:val="0"/>
          <w:bCs w:val="0"/>
          <w:color w:val="000000" w:themeColor="text1"/>
          <w:spacing w:val="-2"/>
          <w:sz w:val="32"/>
          <w:szCs w:val="32"/>
          <w:lang w:eastAsia="zh-CN"/>
          <w14:textFill>
            <w14:solidFill>
              <w14:schemeClr w14:val="tx1"/>
            </w14:solidFill>
          </w14:textFill>
        </w:rPr>
        <w:t>仪征</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作</w:t>
      </w:r>
      <w:r>
        <w:rPr>
          <w:rFonts w:hint="eastAsia" w:ascii="仿宋_GB2312" w:hAnsi="仿宋_GB2312" w:eastAsia="仿宋_GB2312" w:cs="仿宋_GB2312"/>
          <w:b w:val="0"/>
          <w:bCs w:val="0"/>
          <w:color w:val="000000" w:themeColor="text1"/>
          <w:spacing w:val="-4"/>
          <w:sz w:val="32"/>
          <w:szCs w:val="32"/>
          <w14:textFill>
            <w14:solidFill>
              <w14:schemeClr w14:val="tx1"/>
            </w14:solidFill>
          </w14:textFill>
        </w:rPr>
        <w:t>家作品的文学评论，予以同稿同酬奖励。</w:t>
      </w:r>
    </w:p>
    <w:p>
      <w:pPr>
        <w:pStyle w:val="10"/>
        <w:keepNext w:val="0"/>
        <w:keepLines w:val="0"/>
        <w:pageBreakBefore w:val="0"/>
        <w:widowControl w:val="0"/>
        <w:wordWrap/>
        <w:overflowPunct/>
        <w:topLinePunct w:val="0"/>
        <w:bidi w:val="0"/>
        <w:adjustRightInd w:val="0"/>
        <w:snapToGrid w:val="0"/>
        <w:spacing w:before="0" w:beforeAutospacing="0" w:after="0" w:afterAutospacing="0" w:line="560" w:lineRule="exact"/>
        <w:ind w:firstLine="640" w:firstLineChars="200"/>
        <w:jc w:val="both"/>
        <w:textAlignment w:val="baseline"/>
        <w:rPr>
          <w:rFonts w:hint="default" w:eastAsia="仿宋"/>
          <w:b/>
          <w:bCs/>
          <w:color w:val="000000" w:themeColor="text1"/>
          <w:spacing w:val="-4"/>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以本市作者为第一作者（编者）正式出版发行的文艺类著作，每本（部）给予0.5万元资助。（以CIP数据号为准）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4</w:t>
      </w:r>
      <w:r>
        <w:rPr>
          <w:rFonts w:hint="eastAsia" w:ascii="楷体_GB2312" w:hAnsi="楷体_GB2312" w:eastAsia="楷体_GB2312" w:cs="楷体_GB2312"/>
          <w:color w:val="000000" w:themeColor="text1"/>
          <w:sz w:val="32"/>
          <w:szCs w:val="32"/>
          <w14:textFill>
            <w14:solidFill>
              <w14:schemeClr w14:val="tx1"/>
            </w14:solidFill>
          </w14:textFill>
        </w:rPr>
        <w:t>、美术、书法、摄影作品：</w:t>
      </w:r>
      <w:r>
        <w:rPr>
          <w:rFonts w:hint="default" w:ascii="仿宋_GB2312" w:hAnsi="仿宋_GB2312" w:eastAsia="仿宋_GB2312" w:cs="仿宋_GB2312"/>
          <w:color w:val="000000" w:themeColor="text1"/>
          <w:sz w:val="32"/>
          <w:szCs w:val="32"/>
          <w14:textFill>
            <w14:solidFill>
              <w14:schemeClr w14:val="tx1"/>
            </w14:solidFill>
          </w14:textFill>
        </w:rPr>
        <w:t>在中国文联及美术、书法、摄影文艺家协会主办的国家届次展，中国文联及美术、书法、摄影文艺家协会独立举办的展览中获奖或展示的作品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0.3—</w:t>
      </w:r>
      <w:r>
        <w:rPr>
          <w:rFonts w:ascii="仿宋_GB2312" w:hAnsi="仿宋_GB2312" w:eastAsia="仿宋_GB2312" w:cs="仿宋_GB2312"/>
          <w:b w:val="0"/>
          <w:bCs w:val="0"/>
          <w:color w:val="000000" w:themeColor="text1"/>
          <w:sz w:val="32"/>
          <w:szCs w:val="32"/>
          <w14:textFill>
            <w14:solidFill>
              <w14:schemeClr w14:val="tx1"/>
            </w14:solidFill>
          </w14:textFill>
        </w:rPr>
        <w:t>0.5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万元奖励</w:t>
      </w:r>
      <w:r>
        <w:rPr>
          <w:rFonts w:hint="default" w:ascii="仿宋_GB2312" w:hAnsi="仿宋_GB2312" w:eastAsia="仿宋_GB2312" w:cs="仿宋_GB2312"/>
          <w:b w:val="0"/>
          <w:bCs w:val="0"/>
          <w:color w:val="000000" w:themeColor="text1"/>
          <w:sz w:val="32"/>
          <w:szCs w:val="32"/>
          <w14:textFill>
            <w14:solidFill>
              <w14:schemeClr w14:val="tx1"/>
            </w14:solidFill>
          </w14:textFill>
        </w:rPr>
        <w:t>；在江苏省文联及美术、书法、摄影文艺家协会主办的省届次展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，江苏省</w:t>
      </w:r>
      <w:r>
        <w:rPr>
          <w:rFonts w:hint="default" w:ascii="仿宋_GB2312" w:hAnsi="仿宋_GB2312" w:eastAsia="仿宋_GB2312" w:cs="仿宋_GB2312"/>
          <w:b w:val="0"/>
          <w:bCs w:val="0"/>
          <w:color w:val="000000" w:themeColor="text1"/>
          <w:sz w:val="32"/>
          <w:szCs w:val="32"/>
          <w14:textFill>
            <w14:solidFill>
              <w14:schemeClr w14:val="tx1"/>
            </w14:solidFill>
          </w14:textFill>
        </w:rPr>
        <w:t>文联及美术、书法、摄影文艺家协会独立举办的展览中获奖或展示的作品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0.1—</w:t>
      </w:r>
      <w:r>
        <w:rPr>
          <w:rFonts w:ascii="仿宋_GB2312" w:hAnsi="仿宋_GB2312" w:eastAsia="仿宋_GB2312" w:cs="仿宋_GB2312"/>
          <w:b w:val="0"/>
          <w:bCs w:val="0"/>
          <w:color w:val="000000" w:themeColor="text1"/>
          <w:sz w:val="32"/>
          <w:szCs w:val="32"/>
          <w14:textFill>
            <w14:solidFill>
              <w14:schemeClr w14:val="tx1"/>
            </w14:solidFill>
          </w14:textFill>
        </w:rPr>
        <w:t>0.2</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万元奖励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在扬州市文联及美术、书法、摄影文艺家协会主办的扬州市级届次展中入展的作品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0.05—</w:t>
      </w:r>
      <w:r>
        <w:rPr>
          <w:rFonts w:ascii="仿宋_GB2312" w:hAnsi="仿宋_GB2312" w:eastAsia="仿宋_GB2312" w:cs="仿宋_GB2312"/>
          <w:b w:val="0"/>
          <w:bCs w:val="0"/>
          <w:color w:val="000000" w:themeColor="text1"/>
          <w:sz w:val="32"/>
          <w:szCs w:val="32"/>
          <w14:textFill>
            <w14:solidFill>
              <w14:schemeClr w14:val="tx1"/>
            </w14:solidFill>
          </w14:textFill>
        </w:rPr>
        <w:t>0.1</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受到扬州市以上政府及省以上宣传、文联、作协、文化、新闻出版广电部门命名表彰的先进文艺团队、协会和个人的奖励标准：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获得国家相关部门、江苏省政府综合表彰的文艺团队、协会奖励</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万元，单项表彰的奖励</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万元；获得省相关部门、扬州市政府综合表彰的，奖励</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万元，单项表彰的，奖励</w:t>
      </w:r>
      <w:r>
        <w:rPr>
          <w:rFonts w:ascii="仿宋_GB2312" w:hAnsi="仿宋_GB2312" w:eastAsia="仿宋_GB2312" w:cs="仿宋_GB2312"/>
          <w:color w:val="000000" w:themeColor="text1"/>
          <w:sz w:val="32"/>
          <w:szCs w:val="32"/>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万元。各文艺团队、文联所属各协会成员获精品奖、展演奖、晋级奖，根据获奖渠道按获奖金额的</w:t>
      </w:r>
      <w:r>
        <w:rPr>
          <w:rFonts w:ascii="仿宋_GB2312" w:hAnsi="仿宋_GB2312" w:eastAsia="仿宋_GB2312" w:cs="仿宋_GB2312"/>
          <w:color w:val="000000" w:themeColor="text1"/>
          <w:sz w:val="32"/>
          <w:szCs w:val="32"/>
          <w14:textFill>
            <w14:solidFill>
              <w14:schemeClr w14:val="tx1"/>
            </w14:solidFill>
          </w14:textFill>
        </w:rPr>
        <w:t>10%-20%</w:t>
      </w:r>
      <w:r>
        <w:rPr>
          <w:rFonts w:hint="eastAsia" w:ascii="仿宋_GB2312" w:hAnsi="仿宋_GB2312" w:eastAsia="仿宋_GB2312" w:cs="仿宋_GB2312"/>
          <w:color w:val="000000" w:themeColor="text1"/>
          <w:sz w:val="32"/>
          <w:szCs w:val="32"/>
          <w14:textFill>
            <w14:solidFill>
              <w14:schemeClr w14:val="tx1"/>
            </w14:solidFill>
          </w14:textFill>
        </w:rPr>
        <w:t>奖励所在团队或协会。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联合制作的作品，奖金按合同规定的相关责任和版权享有情况由各方协商分配。</w:t>
      </w:r>
      <w:r>
        <w:rPr>
          <w:rFonts w:ascii="仿宋_GB2312" w:hAnsi="仿宋_GB2312" w:eastAsia="仿宋_GB2312" w:cs="仿宋_GB2312"/>
          <w:color w:val="000000" w:themeColor="text1"/>
          <w:sz w:val="32"/>
          <w:szCs w:val="32"/>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第十六条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按照“从高不重复”原则，作品已获得往届</w:t>
      </w:r>
      <w:r>
        <w:rPr>
          <w:rFonts w:hint="eastAsia" w:ascii="仿宋_GB2312" w:hAnsi="仿宋_GB2312" w:eastAsia="仿宋_GB2312" w:cs="仿宋_GB2312"/>
          <w:color w:val="000000" w:themeColor="text1"/>
          <w:sz w:val="32"/>
          <w:szCs w:val="32"/>
          <w:lang w:eastAsia="zh-CN"/>
          <w14:textFill>
            <w14:solidFill>
              <w14:schemeClr w14:val="tx1"/>
            </w14:solidFill>
          </w14:textFill>
        </w:rPr>
        <w:t>仪征</w:t>
      </w:r>
      <w:r>
        <w:rPr>
          <w:rFonts w:hint="eastAsia" w:ascii="仿宋_GB2312" w:hAnsi="仿宋_GB2312" w:eastAsia="仿宋_GB2312" w:cs="仿宋_GB2312"/>
          <w:color w:val="000000" w:themeColor="text1"/>
          <w:sz w:val="32"/>
          <w:szCs w:val="32"/>
          <w14:textFill>
            <w14:solidFill>
              <w14:schemeClr w14:val="tx1"/>
            </w14:solidFill>
          </w14:textFill>
        </w:rPr>
        <w:t>市优秀文艺作品刊播展演奖励的一律不在奖励范围，同一作品先后在多个高端平台展示的按最高一项相应标准奖励，同一作者在同一艺术门类中申报作品数量不得超过</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部，作品在增刊、专刊、特刊上发表的一律不在奖励范围，刊物类别以附件文学期刊目录为准。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申报评定</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第十七条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仪征市优秀文艺成果每年申报评选一次，具体申报事宜另行通知。</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第十八条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申报仪征市优秀文艺成果条件标准：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、电影、电视剧、纪录片、</w:t>
      </w:r>
      <w:r>
        <w:rPr>
          <w:rFonts w:hint="eastAsia" w:ascii="仿宋_GB2312" w:hAnsi="仿宋_GB2312" w:eastAsia="仿宋_GB2312" w:cs="仿宋_GB2312"/>
          <w:color w:val="000000" w:themeColor="text1"/>
          <w:sz w:val="32"/>
          <w:szCs w:val="32"/>
          <w:lang w:eastAsia="zh-CN"/>
          <w14:textFill>
            <w14:solidFill>
              <w14:schemeClr w14:val="tx1"/>
            </w14:solidFill>
          </w14:textFill>
        </w:rPr>
        <w:t>电视动画片</w:t>
      </w:r>
      <w:r>
        <w:rPr>
          <w:rFonts w:hint="eastAsia" w:ascii="仿宋_GB2312" w:hAnsi="仿宋_GB2312" w:eastAsia="仿宋_GB2312" w:cs="仿宋_GB2312"/>
          <w:color w:val="000000" w:themeColor="text1"/>
          <w:sz w:val="32"/>
          <w:szCs w:val="32"/>
          <w14:textFill>
            <w14:solidFill>
              <w14:schemeClr w14:val="tx1"/>
            </w14:solidFill>
          </w14:textFill>
        </w:rPr>
        <w:t>、广播剧以院线上映、电视台、电台播出为准。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、戏剧、曲艺、舞台剧、木偶</w:t>
      </w:r>
      <w:r>
        <w:rPr>
          <w:rFonts w:hint="eastAsia" w:ascii="仿宋_GB2312" w:hAnsi="仿宋_GB2312" w:eastAsia="仿宋_GB2312" w:cs="仿宋_GB2312"/>
          <w:color w:val="000000" w:themeColor="text1"/>
          <w:sz w:val="32"/>
          <w:szCs w:val="32"/>
          <w:lang w:eastAsia="zh-CN"/>
          <w14:textFill>
            <w14:solidFill>
              <w14:schemeClr w14:val="tx1"/>
            </w14:solidFill>
          </w14:textFill>
        </w:rPr>
        <w:t>剧</w:t>
      </w:r>
      <w:r>
        <w:rPr>
          <w:rFonts w:hint="eastAsia" w:ascii="仿宋_GB2312" w:hAnsi="仿宋_GB2312" w:eastAsia="仿宋_GB2312" w:cs="仿宋_GB2312"/>
          <w:color w:val="000000" w:themeColor="text1"/>
          <w:sz w:val="32"/>
          <w:szCs w:val="32"/>
          <w14:textFill>
            <w14:solidFill>
              <w14:schemeClr w14:val="tx1"/>
            </w14:solidFill>
          </w14:textFill>
        </w:rPr>
        <w:t>等表演类作品以节目通知原件为准。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、获奖作品以证书和大赛通知原件为准。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、申报奖励作品应确保著作权清晰，并由我市立项申报，我市拥有作品版权、评奖申报权和奖项荣誉权，不得多头报送。</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）本市内多家单位参与合作的作品，须经各参与合作单位在《申报表》上盖章同意，由主要创作生产单位申报。</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）有市外多家单位联合出品的作品，须为本市单位为第一主创，并经出品方前</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名盖章同意，由我市创作生产单位申报。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第十九条</w:t>
      </w:r>
      <w:r>
        <w:rPr>
          <w:rFonts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奖金由著作权拥有者领取。如市内创作生产者与市外、境外合作的作品获奖，由市内著作权拥有者领取。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kern w:val="0"/>
          <w:sz w:val="32"/>
          <w:szCs w:val="32"/>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center"/>
        <w:textAlignment w:val="baseline"/>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设立仪征市优秀文艺成果奖组织委员会，负责领导优秀文艺成果评奖工作。市委、市政府分管领导担任主任、副主任，有关部门负责同志任委员。组委会下设办公室，负责评奖的组织和日常工作。办公室设在市委宣传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第二十一条</w:t>
      </w:r>
      <w:r>
        <w:rPr>
          <w:rFonts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设立仪征市优秀文艺成果奖评审委员会，负责政府优秀文艺成果的项目评定。评审委员会由各门类从事创作、研究等方面的专家和相关主管部门领导组成，评委实行回避制度。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第二十二条</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评审委员会委托市文联接受所属各文艺家协会和社会作品申报，市文体旅局接受文化系统和各镇、园区申报，市融媒体中心接受广电系统和社会影视作品申报，并集中报送组委会办公室。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第二十三条</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评选工作按照公开、公平、公正的原则，严格对照奖励类别和奖励标准进行。除常规性评审工作外，出现以下情形的由评审委员会提出意见报组委会审定：</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、获全国、全省奖项而该奖项未设奖金的作品的具体奖励额度；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、在国家相关部门认可的国际奖项和活动中获奖作品的奖励额度；</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、获得</w:t>
      </w:r>
      <w:r>
        <w:rPr>
          <w:rFonts w:hint="eastAsia" w:ascii="仿宋_GB2312" w:hAnsi="仿宋_GB2312" w:eastAsia="仿宋_GB2312" w:cs="仿宋_GB2312"/>
          <w:bCs/>
          <w:color w:val="000000" w:themeColor="text1"/>
          <w:sz w:val="32"/>
          <w:szCs w:val="32"/>
          <w14:textFill>
            <w14:solidFill>
              <w14:schemeClr w14:val="tx1"/>
            </w14:solidFill>
          </w14:textFill>
        </w:rPr>
        <w:t>其它国家级、省部级重大文艺奖项，经</w:t>
      </w:r>
      <w:r>
        <w:rPr>
          <w:rFonts w:hint="eastAsia" w:ascii="仿宋_GB2312" w:hAnsi="仿宋_GB2312" w:eastAsia="仿宋_GB2312" w:cs="仿宋_GB2312"/>
          <w:color w:val="000000" w:themeColor="text1"/>
          <w:sz w:val="32"/>
          <w:szCs w:val="32"/>
          <w14:textFill>
            <w14:solidFill>
              <w14:schemeClr w14:val="tx1"/>
            </w14:solidFill>
          </w14:textFill>
        </w:rPr>
        <w:t>市优秀文艺成果奖评审委员会研究决定，可参照本办法对应奖励标准给予奖励；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、新设的全国性、全省性重要奖项；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、具有开创性和标志性意义的作品；</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、本办法中没有对应条款而又在国内外产生重大影响的文艺成果；</w:t>
      </w:r>
      <w:r>
        <w:rPr>
          <w:rFonts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、其他需由组委会统一商定的事宜。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评选结果由评审委员会提出建议名单报组委会最终确认。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第二十五条</w:t>
      </w:r>
      <w:r>
        <w:rPr>
          <w:rFonts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各组织报送单位负责对所属申报主体申报作品凭证的真实性进行审查。以虚假材料进行申报的，一经查实虚报者五年内不得再申报，报送单位负责追回冒领奖金。</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第二十六条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评奖活动所需资金由市优秀文艺成果奖励专项基金列支。</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附</w:t>
      </w:r>
      <w:r>
        <w:rPr>
          <w:rFonts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则</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第二十七条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本办法自颁布之日起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开始实施，原</w:t>
      </w:r>
      <w:r>
        <w:rPr>
          <w:rFonts w:hint="eastAsia" w:ascii="仿宋_GB2312" w:hAnsi="仿宋_GB2312" w:eastAsia="仿宋_GB2312" w:cs="仿宋_GB2312"/>
          <w:color w:val="000000" w:themeColor="text1"/>
          <w:sz w:val="32"/>
          <w:szCs w:val="32"/>
          <w14:textFill>
            <w14:solidFill>
              <w14:schemeClr w14:val="tx1"/>
            </w14:solidFill>
          </w14:textFill>
        </w:rPr>
        <w:t>《仪征市优秀文艺成果奖励办法》（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2022年修订版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停止执行。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第二十八条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本办法最终解释权归中共仪征市委宣传部。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textAlignment w:val="baseline"/>
        <w:rPr>
          <w:rFonts w:ascii="仿宋_GB2312" w:hAnsi="仿宋_GB2312" w:eastAsia="仿宋_GB2312" w:cs="仿宋_GB2312"/>
          <w:color w:val="000000" w:themeColor="text1"/>
          <w:sz w:val="32"/>
          <w:szCs w:val="32"/>
          <w14:textFill>
            <w14:solidFill>
              <w14:schemeClr w14:val="tx1"/>
            </w14:solidFill>
          </w14:textFill>
        </w:rPr>
      </w:pPr>
    </w:p>
    <w:p>
      <w:pPr>
        <w:pStyle w:val="10"/>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baseline"/>
        <w:rPr>
          <w:rFonts w:ascii="黑体" w:hAnsi="黑体" w:eastAsia="黑体" w:cs="Times New Roman"/>
          <w:b/>
          <w:bCs/>
          <w:color w:val="000000" w:themeColor="text1"/>
          <w:sz w:val="32"/>
          <w:szCs w:val="32"/>
          <w14:textFill>
            <w14:solidFill>
              <w14:schemeClr w14:val="tx1"/>
            </w14:solidFill>
          </w14:textFill>
        </w:rPr>
      </w:pPr>
    </w:p>
    <w:p>
      <w:pPr>
        <w:pStyle w:val="2"/>
        <w:spacing w:before="121" w:line="222" w:lineRule="auto"/>
        <w:rPr>
          <w:color w:val="000000" w:themeColor="text1"/>
          <w:spacing w:val="23"/>
          <w:sz w:val="32"/>
          <w:szCs w:val="32"/>
          <w14:textFill>
            <w14:solidFill>
              <w14:schemeClr w14:val="tx1"/>
            </w14:solidFill>
          </w14:textFill>
        </w:rPr>
      </w:pPr>
    </w:p>
    <w:p>
      <w:pPr>
        <w:pStyle w:val="2"/>
        <w:spacing w:before="121" w:line="222" w:lineRule="auto"/>
        <w:rPr>
          <w:color w:val="000000" w:themeColor="text1"/>
          <w:spacing w:val="23"/>
          <w:sz w:val="32"/>
          <w:szCs w:val="32"/>
          <w14:textFill>
            <w14:solidFill>
              <w14:schemeClr w14:val="tx1"/>
            </w14:solidFill>
          </w14:textFill>
        </w:rPr>
      </w:pPr>
    </w:p>
    <w:p>
      <w:pPr>
        <w:pStyle w:val="2"/>
        <w:spacing w:before="121" w:line="222" w:lineRule="auto"/>
        <w:rPr>
          <w:color w:val="000000" w:themeColor="text1"/>
          <w:spacing w:val="23"/>
          <w:sz w:val="32"/>
          <w:szCs w:val="32"/>
          <w14:textFill>
            <w14:solidFill>
              <w14:schemeClr w14:val="tx1"/>
            </w14:solidFill>
          </w14:textFill>
        </w:rPr>
      </w:pPr>
    </w:p>
    <w:p>
      <w:pPr>
        <w:pStyle w:val="2"/>
        <w:spacing w:before="121" w:line="222" w:lineRule="auto"/>
        <w:ind w:left="44"/>
        <w:rPr>
          <w:color w:val="000000" w:themeColor="text1"/>
          <w:spacing w:val="23"/>
          <w:sz w:val="32"/>
          <w:szCs w:val="32"/>
          <w14:textFill>
            <w14:solidFill>
              <w14:schemeClr w14:val="tx1"/>
            </w14:solidFill>
          </w14:textFill>
        </w:rPr>
      </w:pPr>
    </w:p>
    <w:p>
      <w:pPr>
        <w:pStyle w:val="2"/>
        <w:spacing w:before="121" w:line="222" w:lineRule="auto"/>
        <w:ind w:left="44"/>
        <w:rPr>
          <w:color w:val="000000" w:themeColor="text1"/>
          <w:spacing w:val="23"/>
          <w:sz w:val="32"/>
          <w:szCs w:val="32"/>
          <w14:textFill>
            <w14:solidFill>
              <w14:schemeClr w14:val="tx1"/>
            </w14:solidFill>
          </w14:textFill>
        </w:rPr>
      </w:pPr>
    </w:p>
    <w:p>
      <w:pPr>
        <w:pStyle w:val="2"/>
        <w:spacing w:before="121" w:line="222" w:lineRule="auto"/>
        <w:rPr>
          <w:color w:val="000000" w:themeColor="text1"/>
          <w:spacing w:val="23"/>
          <w:sz w:val="32"/>
          <w:szCs w:val="32"/>
          <w14:textFill>
            <w14:solidFill>
              <w14:schemeClr w14:val="tx1"/>
            </w14:solidFill>
          </w14:textFill>
        </w:rPr>
      </w:pPr>
    </w:p>
    <w:p>
      <w:pPr>
        <w:pStyle w:val="2"/>
        <w:spacing w:before="121" w:line="222" w:lineRule="auto"/>
        <w:rPr>
          <w:color w:val="000000" w:themeColor="text1"/>
          <w:spacing w:val="23"/>
          <w:sz w:val="32"/>
          <w:szCs w:val="32"/>
          <w14:textFill>
            <w14:solidFill>
              <w14:schemeClr w14:val="tx1"/>
            </w14:solidFill>
          </w14:textFill>
        </w:rPr>
      </w:pPr>
    </w:p>
    <w:p>
      <w:pPr>
        <w:pStyle w:val="2"/>
        <w:spacing w:before="121" w:line="222" w:lineRule="auto"/>
        <w:rPr>
          <w:color w:val="000000" w:themeColor="text1"/>
          <w:spacing w:val="23"/>
          <w:sz w:val="32"/>
          <w:szCs w:val="32"/>
          <w14:textFill>
            <w14:solidFill>
              <w14:schemeClr w14:val="tx1"/>
            </w14:solidFill>
          </w14:textFill>
        </w:rPr>
      </w:pPr>
    </w:p>
    <w:p>
      <w:pPr>
        <w:pStyle w:val="2"/>
        <w:spacing w:before="121" w:line="222"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3"/>
          <w:sz w:val="32"/>
          <w:szCs w:val="32"/>
          <w14:textFill>
            <w14:solidFill>
              <w14:schemeClr w14:val="tx1"/>
            </w14:solidFill>
          </w14:textFill>
        </w:rPr>
        <w:t>附件2</w:t>
      </w:r>
    </w:p>
    <w:p>
      <w:pPr>
        <w:spacing w:line="354" w:lineRule="auto"/>
        <w:jc w:val="both"/>
        <w:rPr>
          <w:rFonts w:ascii="Arial"/>
          <w:color w:val="000000" w:themeColor="text1"/>
          <w:sz w:val="21"/>
          <w14:textFill>
            <w14:solidFill>
              <w14:schemeClr w14:val="tx1"/>
            </w14:solidFill>
          </w14:textFill>
        </w:rPr>
      </w:pPr>
    </w:p>
    <w:p>
      <w:pPr>
        <w:jc w:val="center"/>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w:t>
      </w:r>
      <w:r>
        <w:rPr>
          <w:rFonts w:hint="eastAsia" w:ascii="方正大标宋简体" w:hAnsi="方正大标宋简体" w:eastAsia="方正大标宋简体" w:cs="方正大标宋简体"/>
          <w:color w:val="000000" w:themeColor="text1"/>
          <w:sz w:val="44"/>
          <w:szCs w:val="44"/>
          <w:lang w:eastAsia="zh-CN"/>
          <w14:textFill>
            <w14:solidFill>
              <w14:schemeClr w14:val="tx1"/>
            </w14:solidFill>
          </w14:textFill>
        </w:rPr>
        <w:t>仪征</w:t>
      </w: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市优秀文艺成果奖励办法(2023年修订版)》文学期刊目录</w:t>
      </w:r>
    </w:p>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ascii="Arial"/>
          <w:color w:val="000000" w:themeColor="text1"/>
          <w:sz w:val="21"/>
          <w14:textFill>
            <w14:solidFill>
              <w14:schemeClr w14:val="tx1"/>
            </w14:solidFill>
          </w14:textFill>
        </w:rPr>
      </w:pPr>
    </w:p>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ascii="Arial"/>
          <w:color w:val="000000" w:themeColor="text1"/>
          <w:sz w:val="21"/>
          <w14:textFill>
            <w14:solidFill>
              <w14:schemeClr w14:val="tx1"/>
            </w14:solidFill>
          </w14:textFill>
        </w:rPr>
      </w:pPr>
    </w:p>
    <w:p>
      <w:pPr>
        <w:keepNext w:val="0"/>
        <w:keepLines w:val="0"/>
        <w:pageBreakBefore w:val="0"/>
        <w:kinsoku w:val="0"/>
        <w:wordWrap/>
        <w:overflowPunct/>
        <w:topLinePunct w:val="0"/>
        <w:autoSpaceDE w:val="0"/>
        <w:autoSpaceDN w:val="0"/>
        <w:bidi w:val="0"/>
        <w:adjustRightInd w:val="0"/>
        <w:snapToGrid w:val="0"/>
        <w:spacing w:line="560" w:lineRule="exact"/>
        <w:ind w:left="199"/>
        <w:textAlignment w:val="baseline"/>
        <w:rPr>
          <w:color w:val="000000" w:themeColor="text1"/>
          <w14:textFill>
            <w14:solidFill>
              <w14:schemeClr w14:val="tx1"/>
            </w14:solidFill>
          </w14:textFill>
        </w:rPr>
      </w:pPr>
      <w:r>
        <w:rPr>
          <w:rFonts w:ascii="黑体" w:hAnsi="黑体" w:eastAsia="黑体" w:cs="黑体"/>
          <w:b w:val="0"/>
          <w:bCs w:val="0"/>
          <w:color w:val="000000" w:themeColor="text1"/>
          <w:spacing w:val="-12"/>
          <w:sz w:val="32"/>
          <w:szCs w:val="32"/>
          <w14:textFill>
            <w14:solidFill>
              <w14:schemeClr w14:val="tx1"/>
            </w14:solidFill>
          </w14:textFill>
        </w:rPr>
        <w:t>(一)重点文学期刊</w:t>
      </w:r>
      <w:r>
        <w:rPr>
          <w:rFonts w:ascii="黑体" w:hAnsi="黑体" w:eastAsia="黑体" w:cs="黑体"/>
          <w:b w:val="0"/>
          <w:bCs w:val="0"/>
          <w:color w:val="000000" w:themeColor="text1"/>
          <w:spacing w:val="-36"/>
          <w:sz w:val="32"/>
          <w:szCs w:val="32"/>
          <w14:textFill>
            <w14:solidFill>
              <w14:schemeClr w14:val="tx1"/>
            </w14:solidFill>
          </w14:textFill>
        </w:rPr>
        <w:t xml:space="preserve"> </w:t>
      </w:r>
      <w:r>
        <w:rPr>
          <w:rFonts w:hint="eastAsia" w:ascii="楷体_GB2312" w:hAnsi="楷体_GB2312" w:eastAsia="楷体_GB2312" w:cs="楷体_GB2312"/>
          <w:color w:val="000000" w:themeColor="text1"/>
          <w:spacing w:val="-12"/>
          <w:sz w:val="32"/>
          <w:szCs w:val="32"/>
          <w14:textFill>
            <w14:solidFill>
              <w14:schemeClr w14:val="tx1"/>
            </w14:solidFill>
          </w14:textFill>
        </w:rPr>
        <w:t>(北大中文核心期刊要目总览2021</w:t>
      </w:r>
      <w:r>
        <w:rPr>
          <w:rFonts w:hint="eastAsia" w:ascii="楷体_GB2312" w:hAnsi="楷体_GB2312" w:eastAsia="楷体_GB2312" w:cs="楷体_GB2312"/>
          <w:color w:val="000000" w:themeColor="text1"/>
          <w:spacing w:val="-13"/>
          <w:sz w:val="32"/>
          <w:szCs w:val="32"/>
          <w14:textFill>
            <w14:solidFill>
              <w14:schemeClr w14:val="tx1"/>
            </w14:solidFill>
          </w14:textFill>
        </w:rPr>
        <w:t>版)</w:t>
      </w:r>
    </w:p>
    <w:tbl>
      <w:tblPr>
        <w:tblStyle w:val="13"/>
        <w:tblW w:w="7869" w:type="dxa"/>
        <w:tblInd w:w="4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90"/>
        <w:gridCol w:w="3299"/>
        <w:gridCol w:w="2660"/>
        <w:gridCol w:w="8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1" w:hRule="atLeast"/>
        </w:trPr>
        <w:tc>
          <w:tcPr>
            <w:tcW w:w="109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收获</w:t>
            </w:r>
          </w:p>
        </w:tc>
        <w:tc>
          <w:tcPr>
            <w:tcW w:w="3299"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52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人民文学</w:t>
            </w:r>
          </w:p>
        </w:tc>
        <w:tc>
          <w:tcPr>
            <w:tcW w:w="266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271"/>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上海文学</w:t>
            </w:r>
          </w:p>
        </w:tc>
        <w:tc>
          <w:tcPr>
            <w:tcW w:w="82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花城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5" w:hRule="atLeast"/>
        </w:trPr>
        <w:tc>
          <w:tcPr>
            <w:tcW w:w="1090" w:type="dxa"/>
            <w:vAlign w:val="top"/>
          </w:tcPr>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4"/>
                <w:sz w:val="32"/>
                <w:szCs w:val="32"/>
                <w14:textFill>
                  <w14:solidFill>
                    <w14:schemeClr w14:val="tx1"/>
                  </w14:solidFill>
                </w14:textFill>
              </w:rPr>
              <w:t>当代</w:t>
            </w:r>
          </w:p>
        </w:tc>
        <w:tc>
          <w:tcPr>
            <w:tcW w:w="3299"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52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作家</w:t>
            </w:r>
          </w:p>
        </w:tc>
        <w:tc>
          <w:tcPr>
            <w:tcW w:w="2660" w:type="dxa"/>
            <w:vAlign w:val="top"/>
          </w:tcPr>
          <w:p>
            <w:pPr>
              <w:keepNext w:val="0"/>
              <w:keepLines w:val="0"/>
              <w:pageBreakBefore w:val="0"/>
              <w:kinsoku w:val="0"/>
              <w:wordWrap/>
              <w:overflowPunct/>
              <w:topLinePunct w:val="0"/>
              <w:autoSpaceDE w:val="0"/>
              <w:autoSpaceDN w:val="0"/>
              <w:bidi w:val="0"/>
              <w:adjustRightInd w:val="0"/>
              <w:snapToGrid w:val="0"/>
              <w:spacing w:line="560" w:lineRule="exact"/>
              <w:ind w:left="271"/>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山花</w:t>
            </w:r>
          </w:p>
        </w:tc>
        <w:tc>
          <w:tcPr>
            <w:tcW w:w="82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right="20"/>
              <w:jc w:val="righ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天涯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4" w:hRule="atLeast"/>
        </w:trPr>
        <w:tc>
          <w:tcPr>
            <w:tcW w:w="1090" w:type="dxa"/>
            <w:vAlign w:val="top"/>
          </w:tcPr>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4"/>
                <w:sz w:val="32"/>
                <w:szCs w:val="32"/>
                <w14:textFill>
                  <w14:solidFill>
                    <w14:schemeClr w14:val="tx1"/>
                  </w14:solidFill>
                </w14:textFill>
              </w:rPr>
              <w:t>芙蓉</w:t>
            </w:r>
          </w:p>
        </w:tc>
        <w:tc>
          <w:tcPr>
            <w:tcW w:w="3299"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52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北京文学·原创</w:t>
            </w:r>
          </w:p>
        </w:tc>
        <w:tc>
          <w:tcPr>
            <w:tcW w:w="266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271"/>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2"/>
                <w:sz w:val="32"/>
                <w:szCs w:val="32"/>
                <w14:textFill>
                  <w14:solidFill>
                    <w14:schemeClr w14:val="tx1"/>
                  </w14:solidFill>
                </w14:textFill>
              </w:rPr>
              <w:t>民族文学</w:t>
            </w:r>
          </w:p>
        </w:tc>
        <w:tc>
          <w:tcPr>
            <w:tcW w:w="82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right="12"/>
              <w:jc w:val="righ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十月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7" w:hRule="atLeast"/>
        </w:trPr>
        <w:tc>
          <w:tcPr>
            <w:tcW w:w="1090" w:type="dxa"/>
            <w:vAlign w:val="top"/>
          </w:tcPr>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4"/>
                <w:sz w:val="32"/>
                <w:szCs w:val="32"/>
                <w14:textFill>
                  <w14:solidFill>
                    <w14:schemeClr w14:val="tx1"/>
                  </w14:solidFill>
                </w14:textFill>
              </w:rPr>
              <w:t>江南</w:t>
            </w:r>
          </w:p>
        </w:tc>
        <w:tc>
          <w:tcPr>
            <w:tcW w:w="3299"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489"/>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14:textFill>
                  <w14:solidFill>
                    <w14:schemeClr w14:val="tx1"/>
                  </w14:solidFill>
                </w14:textFill>
              </w:rPr>
              <w:t>小说月报·原创版</w:t>
            </w:r>
          </w:p>
        </w:tc>
        <w:tc>
          <w:tcPr>
            <w:tcW w:w="266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271"/>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长江文艺·原创</w:t>
            </w:r>
          </w:p>
        </w:tc>
        <w:tc>
          <w:tcPr>
            <w:tcW w:w="820" w:type="dxa"/>
            <w:vAlign w:val="top"/>
          </w:tcPr>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tc>
      </w:tr>
    </w:tbl>
    <w:p>
      <w:pPr>
        <w:keepNext w:val="0"/>
        <w:keepLines w:val="0"/>
        <w:pageBreakBefore w:val="0"/>
        <w:kinsoku w:val="0"/>
        <w:wordWrap/>
        <w:overflowPunct/>
        <w:topLinePunct w:val="0"/>
        <w:autoSpaceDE w:val="0"/>
        <w:autoSpaceDN w:val="0"/>
        <w:bidi w:val="0"/>
        <w:adjustRightInd w:val="0"/>
        <w:snapToGrid w:val="0"/>
        <w:spacing w:line="560" w:lineRule="exact"/>
        <w:ind w:left="199"/>
        <w:textAlignment w:val="baseline"/>
        <w:rPr>
          <w:rFonts w:ascii="黑体" w:hAnsi="黑体" w:eastAsia="黑体" w:cs="黑体"/>
          <w:b w:val="0"/>
          <w:bCs w:val="0"/>
          <w:color w:val="000000" w:themeColor="text1"/>
          <w:spacing w:val="8"/>
          <w:sz w:val="32"/>
          <w:szCs w:val="32"/>
          <w14:textFill>
            <w14:solidFill>
              <w14:schemeClr w14:val="tx1"/>
            </w14:solidFill>
          </w14:textFill>
        </w:rPr>
      </w:pPr>
    </w:p>
    <w:p>
      <w:pPr>
        <w:keepNext w:val="0"/>
        <w:keepLines w:val="0"/>
        <w:pageBreakBefore w:val="0"/>
        <w:kinsoku w:val="0"/>
        <w:wordWrap/>
        <w:overflowPunct/>
        <w:topLinePunct w:val="0"/>
        <w:autoSpaceDE w:val="0"/>
        <w:autoSpaceDN w:val="0"/>
        <w:bidi w:val="0"/>
        <w:adjustRightInd w:val="0"/>
        <w:snapToGrid w:val="0"/>
        <w:spacing w:line="560" w:lineRule="exact"/>
        <w:ind w:left="199"/>
        <w:textAlignment w:val="baseline"/>
        <w:rPr>
          <w:color w:val="000000" w:themeColor="text1"/>
          <w14:textFill>
            <w14:solidFill>
              <w14:schemeClr w14:val="tx1"/>
            </w14:solidFill>
          </w14:textFill>
        </w:rPr>
      </w:pPr>
      <w:r>
        <w:rPr>
          <w:rFonts w:ascii="黑体" w:hAnsi="黑体" w:eastAsia="黑体" w:cs="黑体"/>
          <w:b w:val="0"/>
          <w:bCs w:val="0"/>
          <w:color w:val="000000" w:themeColor="text1"/>
          <w:spacing w:val="8"/>
          <w:sz w:val="32"/>
          <w:szCs w:val="32"/>
          <w14:textFill>
            <w14:solidFill>
              <w14:schemeClr w14:val="tx1"/>
            </w14:solidFill>
          </w14:textFill>
        </w:rPr>
        <w:t>(二)知名文学期刊或选刊</w:t>
      </w:r>
    </w:p>
    <w:tbl>
      <w:tblPr>
        <w:tblStyle w:val="13"/>
        <w:tblW w:w="7177" w:type="dxa"/>
        <w:tblInd w:w="4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64"/>
        <w:gridCol w:w="2820"/>
        <w:gridCol w:w="19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5" w:hRule="atLeast"/>
        </w:trPr>
        <w:tc>
          <w:tcPr>
            <w:tcW w:w="2364"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钟山</w:t>
            </w:r>
          </w:p>
        </w:tc>
        <w:tc>
          <w:tcPr>
            <w:tcW w:w="282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雨花</w:t>
            </w:r>
          </w:p>
        </w:tc>
        <w:tc>
          <w:tcPr>
            <w:tcW w:w="1993"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扬子江诗刊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0" w:hRule="atLeast"/>
        </w:trPr>
        <w:tc>
          <w:tcPr>
            <w:tcW w:w="2364"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新华文摘</w:t>
            </w:r>
          </w:p>
        </w:tc>
        <w:tc>
          <w:tcPr>
            <w:tcW w:w="282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小说月报</w:t>
            </w:r>
          </w:p>
        </w:tc>
        <w:tc>
          <w:tcPr>
            <w:tcW w:w="1993"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小说选刊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2364"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中篇小说选刊</w:t>
            </w:r>
          </w:p>
        </w:tc>
        <w:tc>
          <w:tcPr>
            <w:tcW w:w="282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pacing w:val="-10"/>
                <w:sz w:val="32"/>
                <w:szCs w:val="32"/>
                <w14:textFill>
                  <w14:solidFill>
                    <w14:schemeClr w14:val="tx1"/>
                  </w14:solidFill>
                </w14:textFill>
              </w:rPr>
              <w:t>长篇小说选刊</w:t>
            </w:r>
          </w:p>
        </w:tc>
        <w:tc>
          <w:tcPr>
            <w:tcW w:w="1993"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pacing w:val="-10"/>
                <w:sz w:val="32"/>
                <w:szCs w:val="32"/>
                <w14:textFill>
                  <w14:solidFill>
                    <w14:schemeClr w14:val="tx1"/>
                  </w14:solidFill>
                </w14:textFill>
              </w:rPr>
            </w:pPr>
          </w:p>
        </w:tc>
      </w:tr>
    </w:tbl>
    <w:p>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keepNext w:val="0"/>
        <w:keepLines w:val="0"/>
        <w:pageBreakBefore w:val="0"/>
        <w:kinsoku w:val="0"/>
        <w:wordWrap/>
        <w:overflowPunct/>
        <w:topLinePunct w:val="0"/>
        <w:autoSpaceDE w:val="0"/>
        <w:autoSpaceDN w:val="0"/>
        <w:bidi w:val="0"/>
        <w:adjustRightInd w:val="0"/>
        <w:snapToGrid w:val="0"/>
        <w:spacing w:line="560" w:lineRule="exact"/>
        <w:ind w:left="199"/>
        <w:textAlignment w:val="baseline"/>
        <w:rPr>
          <w:color w:val="000000" w:themeColor="text1"/>
          <w14:textFill>
            <w14:solidFill>
              <w14:schemeClr w14:val="tx1"/>
            </w14:solidFill>
          </w14:textFill>
        </w:rPr>
      </w:pPr>
      <w:r>
        <w:rPr>
          <w:rFonts w:ascii="黑体" w:hAnsi="黑体" w:eastAsia="黑体" w:cs="黑体"/>
          <w:b w:val="0"/>
          <w:bCs w:val="0"/>
          <w:color w:val="000000" w:themeColor="text1"/>
          <w:spacing w:val="-11"/>
          <w:sz w:val="32"/>
          <w:szCs w:val="32"/>
          <w14:textFill>
            <w14:solidFill>
              <w14:schemeClr w14:val="tx1"/>
            </w14:solidFill>
          </w14:textFill>
        </w:rPr>
        <w:t>(三)重点文学评论期刊</w:t>
      </w:r>
      <w:r>
        <w:rPr>
          <w:rFonts w:ascii="黑体" w:hAnsi="黑体" w:eastAsia="黑体" w:cs="黑体"/>
          <w:color w:val="000000" w:themeColor="text1"/>
          <w:spacing w:val="-31"/>
          <w:sz w:val="32"/>
          <w:szCs w:val="32"/>
          <w14:textFill>
            <w14:solidFill>
              <w14:schemeClr w14:val="tx1"/>
            </w14:solidFill>
          </w14:textFill>
        </w:rPr>
        <w:t xml:space="preserve"> </w:t>
      </w:r>
      <w:r>
        <w:rPr>
          <w:rFonts w:ascii="楷体" w:hAnsi="楷体" w:eastAsia="楷体" w:cs="楷体"/>
          <w:color w:val="000000" w:themeColor="text1"/>
          <w:spacing w:val="-11"/>
          <w:sz w:val="32"/>
          <w:szCs w:val="32"/>
          <w14:textFill>
            <w14:solidFill>
              <w14:schemeClr w14:val="tx1"/>
            </w14:solidFill>
          </w14:textFill>
        </w:rPr>
        <w:t>(北大中文核心期刊要目总览2021版</w:t>
      </w:r>
      <w:r>
        <w:rPr>
          <w:rFonts w:ascii="Times New Roman" w:hAnsi="Times New Roman" w:eastAsia="Times New Roman" w:cs="Times New Roman"/>
          <w:color w:val="000000" w:themeColor="text1"/>
          <w:spacing w:val="-11"/>
          <w:sz w:val="32"/>
          <w:szCs w:val="32"/>
          <w14:textFill>
            <w14:solidFill>
              <w14:schemeClr w14:val="tx1"/>
            </w14:solidFill>
          </w14:textFill>
        </w:rPr>
        <w:t>)</w:t>
      </w:r>
    </w:p>
    <w:tbl>
      <w:tblPr>
        <w:tblStyle w:val="13"/>
        <w:tblW w:w="7472" w:type="dxa"/>
        <w:tblInd w:w="4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584"/>
        <w:gridCol w:w="2470"/>
        <w:gridCol w:w="34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1584"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4"/>
                <w14:textFill>
                  <w14:solidFill>
                    <w14:schemeClr w14:val="tx1"/>
                  </w14:solidFill>
                </w14:textFill>
              </w:rPr>
              <w:t>文学评论</w:t>
            </w:r>
          </w:p>
        </w:tc>
        <w:tc>
          <w:tcPr>
            <w:tcW w:w="247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326"/>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8"/>
                <w14:textFill>
                  <w14:solidFill>
                    <w14:schemeClr w14:val="tx1"/>
                  </w14:solidFill>
                </w14:textFill>
              </w:rPr>
              <w:t>当代作家评论</w:t>
            </w:r>
          </w:p>
        </w:tc>
        <w:tc>
          <w:tcPr>
            <w:tcW w:w="3418"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中国现代文学研究丛刊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2" w:hRule="atLeast"/>
        </w:trPr>
        <w:tc>
          <w:tcPr>
            <w:tcW w:w="1584"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4"/>
                <w14:textFill>
                  <w14:solidFill>
                    <w14:schemeClr w14:val="tx1"/>
                  </w14:solidFill>
                </w14:textFill>
              </w:rPr>
              <w:t>文艺争鸣</w:t>
            </w:r>
          </w:p>
        </w:tc>
        <w:tc>
          <w:tcPr>
            <w:tcW w:w="247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326"/>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文艺理论研究</w:t>
            </w:r>
          </w:p>
        </w:tc>
        <w:tc>
          <w:tcPr>
            <w:tcW w:w="3418"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246"/>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文艺研究</w:t>
            </w:r>
            <w:r>
              <w:rPr>
                <w:rFonts w:hint="eastAsia" w:ascii="仿宋_GB2312" w:hAnsi="仿宋_GB2312" w:eastAsia="仿宋_GB2312" w:cs="仿宋_GB2312"/>
                <w:color w:val="000000" w:themeColor="text1"/>
                <w:spacing w:val="58"/>
                <w14:textFill>
                  <w14:solidFill>
                    <w14:schemeClr w14:val="tx1"/>
                  </w14:solidFill>
                </w14:textFill>
              </w:rPr>
              <w:t xml:space="preserve">  </w:t>
            </w:r>
            <w:r>
              <w:rPr>
                <w:rFonts w:hint="eastAsia" w:ascii="仿宋_GB2312" w:hAnsi="仿宋_GB2312" w:eastAsia="仿宋_GB2312" w:cs="仿宋_GB2312"/>
                <w:color w:val="000000" w:themeColor="text1"/>
                <w:spacing w:val="2"/>
                <w14:textFill>
                  <w14:solidFill>
                    <w14:schemeClr w14:val="tx1"/>
                  </w14:solidFill>
                </w14:textFill>
              </w:rPr>
              <w:t>小说评论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1584"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1"/>
                <w14:textFill>
                  <w14:solidFill>
                    <w14:schemeClr w14:val="tx1"/>
                  </w14:solidFill>
                </w14:textFill>
              </w:rPr>
              <w:t>当代文坛</w:t>
            </w:r>
          </w:p>
        </w:tc>
        <w:tc>
          <w:tcPr>
            <w:tcW w:w="2470"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326"/>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4"/>
                <w14:textFill>
                  <w14:solidFill>
                    <w14:schemeClr w14:val="tx1"/>
                  </w14:solidFill>
                </w14:textFill>
              </w:rPr>
              <w:t>扬子江评论</w:t>
            </w:r>
          </w:p>
        </w:tc>
        <w:tc>
          <w:tcPr>
            <w:tcW w:w="3418" w:type="dxa"/>
            <w:vAlign w:val="top"/>
          </w:tcPr>
          <w:p>
            <w:pPr>
              <w:pStyle w:val="12"/>
              <w:keepNext w:val="0"/>
              <w:keepLines w:val="0"/>
              <w:pageBreakBefore w:val="0"/>
              <w:kinsoku w:val="0"/>
              <w:wordWrap/>
              <w:overflowPunct/>
              <w:topLinePunct w:val="0"/>
              <w:autoSpaceDE w:val="0"/>
              <w:autoSpaceDN w:val="0"/>
              <w:bidi w:val="0"/>
              <w:adjustRightInd w:val="0"/>
              <w:snapToGrid w:val="0"/>
              <w:spacing w:line="560" w:lineRule="exact"/>
              <w:ind w:left="246"/>
              <w:textAlignment w:val="baseline"/>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文艺理论与批评</w:t>
            </w:r>
          </w:p>
        </w:tc>
      </w:tr>
    </w:tbl>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page"/>
      </w:r>
    </w:p>
    <w:p>
      <w:pPr>
        <w:pStyle w:val="9"/>
        <w:keepNext w:val="0"/>
        <w:keepLines w:val="0"/>
        <w:pageBreakBefore w:val="0"/>
        <w:widowControl w:val="0"/>
        <w:kinsoku/>
        <w:wordWrap/>
        <w:overflowPunct/>
        <w:topLinePunct w:val="0"/>
        <w:autoSpaceDE/>
        <w:autoSpaceDN/>
        <w:bidi w:val="0"/>
        <w:spacing w:line="560" w:lineRule="exact"/>
        <w:ind w:firstLine="643"/>
        <w:rPr>
          <w:rFonts w:hint="eastAsia" w:ascii="仿宋_GB2312" w:hAnsi="仿宋_GB2312" w:eastAsia="仿宋_GB2312" w:cs="仿宋_GB2312"/>
          <w:color w:val="000000" w:themeColor="text1"/>
          <w:sz w:val="32"/>
          <w:szCs w:val="32"/>
          <w:lang w:eastAsia="zh-CN"/>
          <w14:textFill>
            <w14:solidFill>
              <w14:schemeClr w14:val="tx1"/>
            </w14:solidFill>
          </w14:textFill>
        </w:rPr>
        <w:sectPr>
          <w:footerReference r:id="rId5" w:type="default"/>
          <w:pgSz w:w="11900" w:h="16820"/>
          <w:pgMar w:top="1701" w:right="1417" w:bottom="1701" w:left="1701" w:header="0" w:footer="107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2"/>
          <w:sz w:val="32"/>
          <w:szCs w:val="32"/>
          <w14:textFill>
            <w14:solidFill>
              <w14:schemeClr w14:val="tx1"/>
            </w14:solidFill>
          </w14:textFill>
        </w:rPr>
        <w:t>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480"/>
        <w:textAlignment w:val="baseline"/>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pacing w:val="-8"/>
          <w:sz w:val="44"/>
          <w:szCs w:val="44"/>
          <w14:textFill>
            <w14:solidFill>
              <w14:schemeClr w14:val="tx1"/>
            </w14:solidFill>
          </w14:textFill>
        </w:rPr>
        <w:t>2023年</w:t>
      </w:r>
      <w:r>
        <w:rPr>
          <w:rFonts w:hint="eastAsia" w:ascii="方正大标宋简体" w:hAnsi="方正大标宋简体" w:eastAsia="方正大标宋简体" w:cs="方正大标宋简体"/>
          <w:b w:val="0"/>
          <w:bCs w:val="0"/>
          <w:color w:val="000000" w:themeColor="text1"/>
          <w:spacing w:val="-8"/>
          <w:sz w:val="44"/>
          <w:szCs w:val="44"/>
          <w:lang w:eastAsia="zh-CN"/>
          <w14:textFill>
            <w14:solidFill>
              <w14:schemeClr w14:val="tx1"/>
            </w14:solidFill>
          </w14:textFill>
        </w:rPr>
        <w:t>仪征</w:t>
      </w:r>
      <w:r>
        <w:rPr>
          <w:rFonts w:hint="eastAsia" w:ascii="方正大标宋简体" w:hAnsi="方正大标宋简体" w:eastAsia="方正大标宋简体" w:cs="方正大标宋简体"/>
          <w:b w:val="0"/>
          <w:bCs w:val="0"/>
          <w:color w:val="000000" w:themeColor="text1"/>
          <w:spacing w:val="-8"/>
          <w:sz w:val="44"/>
          <w:szCs w:val="44"/>
          <w14:textFill>
            <w14:solidFill>
              <w14:schemeClr w14:val="tx1"/>
            </w14:solidFill>
          </w14:textFill>
        </w:rPr>
        <w:t>市优秀文艺成果汇总表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5"/>
          <w:sz w:val="32"/>
          <w:szCs w:val="32"/>
          <w14:textFill>
            <w14:solidFill>
              <w14:schemeClr w14:val="tx1"/>
            </w14:solidFill>
          </w14:textFill>
        </w:rPr>
        <w:t>推荐单位(盖章):</w:t>
      </w:r>
    </w:p>
    <w:tbl>
      <w:tblPr>
        <w:tblStyle w:val="13"/>
        <w:tblW w:w="144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1503"/>
        <w:gridCol w:w="1699"/>
        <w:gridCol w:w="1866"/>
        <w:gridCol w:w="1693"/>
        <w:gridCol w:w="1860"/>
        <w:gridCol w:w="2205"/>
        <w:gridCol w:w="1290"/>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560"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序</w:t>
            </w:r>
            <w:r>
              <w:rPr>
                <w:rFonts w:hint="eastAsia" w:ascii="黑体" w:hAnsi="黑体" w:eastAsia="黑体" w:cs="黑体"/>
                <w:b w:val="0"/>
                <w:bCs w:val="0"/>
                <w:color w:val="000000" w:themeColor="text1"/>
                <w:sz w:val="28"/>
                <w:szCs w:val="28"/>
                <w:lang w:val="en-US" w:eastAsia="zh-CN"/>
                <w14:textFill>
                  <w14:solidFill>
                    <w14:schemeClr w14:val="tx1"/>
                  </w14:solidFill>
                </w14:textFill>
              </w:rPr>
              <w:t xml:space="preserve"> </w:t>
            </w:r>
            <w:r>
              <w:rPr>
                <w:rFonts w:hint="eastAsia" w:ascii="黑体" w:hAnsi="黑体" w:eastAsia="黑体" w:cs="黑体"/>
                <w:b w:val="0"/>
                <w:bCs w:val="0"/>
                <w:color w:val="000000" w:themeColor="text1"/>
                <w:sz w:val="28"/>
                <w:szCs w:val="28"/>
                <w:lang w:eastAsia="zh-CN"/>
                <w14:textFill>
                  <w14:solidFill>
                    <w14:schemeClr w14:val="tx1"/>
                  </w14:solidFill>
                </w14:textFill>
              </w:rPr>
              <w:t>号</w:t>
            </w:r>
          </w:p>
        </w:tc>
        <w:tc>
          <w:tcPr>
            <w:tcW w:w="150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申报单位</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(或个人)</w:t>
            </w:r>
          </w:p>
        </w:tc>
        <w:tc>
          <w:tcPr>
            <w:tcW w:w="169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申报类别</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(详见备注1)</w:t>
            </w:r>
          </w:p>
        </w:tc>
        <w:tc>
          <w:tcPr>
            <w:tcW w:w="18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作品名称</w:t>
            </w:r>
          </w:p>
        </w:tc>
        <w:tc>
          <w:tcPr>
            <w:tcW w:w="169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主创人员</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(详见备注2)</w:t>
            </w:r>
          </w:p>
        </w:tc>
        <w:tc>
          <w:tcPr>
            <w:tcW w:w="186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符合奖励标准</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具体条件</w:t>
            </w:r>
          </w:p>
        </w:tc>
        <w:tc>
          <w:tcPr>
            <w:tcW w:w="220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获奖或刊播展演</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具体平台及时间</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(详见备注3)</w:t>
            </w:r>
          </w:p>
        </w:tc>
        <w:tc>
          <w:tcPr>
            <w:tcW w:w="1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申请</w:t>
            </w:r>
            <w:r>
              <w:rPr>
                <w:rFonts w:hint="eastAsia" w:ascii="黑体" w:hAnsi="黑体" w:eastAsia="黑体" w:cs="黑体"/>
                <w:b w:val="0"/>
                <w:bCs w:val="0"/>
                <w:color w:val="000000" w:themeColor="text1"/>
                <w:sz w:val="28"/>
                <w:szCs w:val="28"/>
                <w14:textFill>
                  <w14:solidFill>
                    <w14:schemeClr w14:val="tx1"/>
                  </w14:solidFill>
                </w14:textFill>
              </w:rPr>
              <w:t>金额</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(万元)</w:t>
            </w:r>
          </w:p>
        </w:tc>
        <w:tc>
          <w:tcPr>
            <w:tcW w:w="175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说明</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center"/>
              <w:textAlignment w:val="baseline"/>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w:t>
            </w:r>
            <w:r>
              <w:rPr>
                <w:rFonts w:hint="eastAsia" w:ascii="黑体" w:hAnsi="黑体" w:eastAsia="黑体" w:cs="黑体"/>
                <w:b w:val="0"/>
                <w:bCs w:val="0"/>
                <w:color w:val="000000" w:themeColor="text1"/>
                <w:sz w:val="28"/>
                <w:szCs w:val="28"/>
                <w14:textFill>
                  <w14:solidFill>
                    <w14:schemeClr w14:val="tx1"/>
                  </w14:solidFill>
                </w14:textFill>
              </w:rPr>
              <w:t>详见备注4</w:t>
            </w:r>
            <w:r>
              <w:rPr>
                <w:rFonts w:hint="eastAsia" w:ascii="黑体" w:hAnsi="黑体" w:eastAsia="黑体" w:cs="黑体"/>
                <w:b w:val="0"/>
                <w:bCs w:val="0"/>
                <w:color w:val="000000" w:themeColor="text1"/>
                <w:sz w:val="28"/>
                <w:szCs w:val="28"/>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0" w:type="dxa"/>
            <w:vAlign w:val="center"/>
          </w:tcPr>
          <w:p>
            <w:pPr>
              <w:spacing w:before="78" w:line="184"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50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9"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6"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220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29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75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0" w:type="dxa"/>
            <w:vAlign w:val="center"/>
          </w:tcPr>
          <w:p>
            <w:pPr>
              <w:spacing w:before="78" w:line="183"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50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9"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6"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220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29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75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0" w:type="dxa"/>
            <w:vAlign w:val="center"/>
          </w:tcPr>
          <w:p>
            <w:pPr>
              <w:spacing w:before="78" w:line="183"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50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9"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6"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220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29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75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0" w:type="dxa"/>
            <w:vAlign w:val="center"/>
          </w:tcPr>
          <w:p>
            <w:pPr>
              <w:spacing w:before="78" w:line="183"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50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9"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6"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220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29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75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0" w:type="dxa"/>
            <w:vAlign w:val="center"/>
          </w:tcPr>
          <w:p>
            <w:pPr>
              <w:spacing w:before="78" w:line="182"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50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9"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6"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693"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86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220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290"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c>
          <w:tcPr>
            <w:tcW w:w="1755" w:type="dxa"/>
            <w:vAlign w:val="center"/>
          </w:tcPr>
          <w:p>
            <w:pPr>
              <w:jc w:val="center"/>
              <w:rPr>
                <w:rFonts w:hint="eastAsia" w:ascii="仿宋_GB2312" w:hAnsi="仿宋_GB2312" w:eastAsia="仿宋_GB2312" w:cs="仿宋_GB2312"/>
                <w:color w:val="000000" w:themeColor="text1"/>
                <w:sz w:val="21"/>
                <w14:textFill>
                  <w14:solidFill>
                    <w14:schemeClr w14:val="tx1"/>
                  </w14:solidFill>
                </w14:textFill>
              </w:rPr>
            </w:pPr>
          </w:p>
        </w:tc>
      </w:tr>
    </w:tbl>
    <w:p>
      <w:pPr>
        <w:rPr>
          <w:rFonts w:hint="eastAsia" w:ascii="楷体_GB2312" w:hAnsi="楷体_GB2312" w:eastAsia="楷体_GB2312" w:cs="楷体_GB2312"/>
          <w:color w:val="000000" w:themeColor="text1"/>
          <w:sz w:val="30"/>
          <w:szCs w:val="30"/>
          <w14:textFill>
            <w14:solidFill>
              <w14:schemeClr w14:val="tx1"/>
            </w14:solidFill>
          </w14:textFill>
        </w:rPr>
      </w:pPr>
    </w:p>
    <w:p>
      <w:pPr>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备注：</w:t>
      </w:r>
      <w:r>
        <w:rPr>
          <w:rFonts w:hint="eastAsia" w:ascii="楷体_GB2312" w:hAnsi="楷体_GB2312" w:eastAsia="楷体_GB2312" w:cs="楷体_GB2312"/>
          <w:b/>
          <w:bCs/>
          <w:color w:val="000000" w:themeColor="text1"/>
          <w:sz w:val="30"/>
          <w:szCs w:val="30"/>
          <w14:textFill>
            <w14:solidFill>
              <w14:schemeClr w14:val="tx1"/>
            </w14:solidFill>
          </w14:textFill>
        </w:rPr>
        <w:t>1.“申报类别”一栏：</w:t>
      </w:r>
      <w:r>
        <w:rPr>
          <w:rFonts w:hint="eastAsia" w:ascii="楷体_GB2312" w:hAnsi="楷体_GB2312" w:eastAsia="楷体_GB2312" w:cs="楷体_GB2312"/>
          <w:color w:val="000000" w:themeColor="text1"/>
          <w:sz w:val="30"/>
          <w:szCs w:val="30"/>
          <w14:textFill>
            <w14:solidFill>
              <w14:schemeClr w14:val="tx1"/>
            </w14:solidFill>
          </w14:textFill>
        </w:rPr>
        <w:t>包括电影、电视剧、电视纪录片、电视动画片、广播剧、舞台剧，文学作品，美术</w:t>
      </w:r>
      <w:r>
        <w:rPr>
          <w:rFonts w:hint="eastAsia" w:ascii="楷体_GB2312" w:hAnsi="楷体_GB2312" w:eastAsia="楷体_GB2312" w:cs="楷体_GB2312"/>
          <w:color w:val="000000" w:themeColor="text1"/>
          <w:sz w:val="30"/>
          <w:szCs w:val="30"/>
          <w:lang w:eastAsia="zh-CN"/>
          <w14:textFill>
            <w14:solidFill>
              <w14:schemeClr w14:val="tx1"/>
            </w14:solidFill>
          </w14:textFill>
        </w:rPr>
        <w:t>、</w:t>
      </w:r>
      <w:r>
        <w:rPr>
          <w:rFonts w:hint="eastAsia" w:ascii="楷体_GB2312" w:hAnsi="楷体_GB2312" w:eastAsia="楷体_GB2312" w:cs="楷体_GB2312"/>
          <w:color w:val="000000" w:themeColor="text1"/>
          <w:sz w:val="30"/>
          <w:szCs w:val="30"/>
          <w14:textFill>
            <w14:solidFill>
              <w14:schemeClr w14:val="tx1"/>
            </w14:solidFill>
          </w14:textFill>
        </w:rPr>
        <w:t>书法、摄影作品、晋升会员及其他；</w:t>
      </w:r>
    </w:p>
    <w:p>
      <w:pPr>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0"/>
          <w:szCs w:val="30"/>
          <w14:textFill>
            <w14:solidFill>
              <w14:schemeClr w14:val="tx1"/>
            </w14:solidFill>
          </w14:textFill>
        </w:rPr>
        <w:t>2.“主创人员”一栏：</w:t>
      </w:r>
      <w:r>
        <w:rPr>
          <w:rFonts w:hint="eastAsia" w:ascii="楷体_GB2312" w:hAnsi="楷体_GB2312" w:eastAsia="楷体_GB2312" w:cs="楷体_GB2312"/>
          <w:color w:val="000000" w:themeColor="text1"/>
          <w:sz w:val="30"/>
          <w:szCs w:val="30"/>
          <w14:textFill>
            <w14:solidFill>
              <w14:schemeClr w14:val="tx1"/>
            </w14:solidFill>
          </w14:textFill>
        </w:rPr>
        <w:t>市直单位推荐作品需列出主创人员是否参加县(市、区)级文联或文艺家协会；</w:t>
      </w:r>
    </w:p>
    <w:p>
      <w:pPr>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b/>
          <w:bCs/>
          <w:color w:val="000000" w:themeColor="text1"/>
          <w:sz w:val="30"/>
          <w:szCs w:val="30"/>
          <w14:textFill>
            <w14:solidFill>
              <w14:schemeClr w14:val="tx1"/>
            </w14:solidFill>
          </w14:textFill>
        </w:rPr>
        <w:t>3.“获奖或刊播展演具体平台及时间”一栏：</w:t>
      </w:r>
      <w:r>
        <w:rPr>
          <w:rFonts w:hint="eastAsia" w:ascii="楷体_GB2312" w:hAnsi="楷体_GB2312" w:eastAsia="楷体_GB2312" w:cs="楷体_GB2312"/>
          <w:color w:val="000000" w:themeColor="text1"/>
          <w:sz w:val="30"/>
          <w:szCs w:val="30"/>
          <w14:textFill>
            <w14:solidFill>
              <w14:schemeClr w14:val="tx1"/>
            </w14:solidFill>
          </w14:textFill>
        </w:rPr>
        <w:t>需填写所获奖项的名称和名次、等级，刊展的具体刊物、期别，播出的频道、日期、时段、时长以及演出的日期、性质、场次等；</w:t>
      </w:r>
    </w:p>
    <w:p>
      <w:pPr>
        <w:rPr>
          <w:rFonts w:hint="eastAsia" w:eastAsia="楷体_GB2312"/>
          <w:color w:val="000000" w:themeColor="text1"/>
          <w:lang w:eastAsia="zh-CN"/>
          <w14:textFill>
            <w14:solidFill>
              <w14:schemeClr w14:val="tx1"/>
            </w14:solidFill>
          </w14:textFill>
        </w:rPr>
      </w:pPr>
      <w:r>
        <w:rPr>
          <w:rFonts w:hint="eastAsia" w:ascii="楷体_GB2312" w:hAnsi="楷体_GB2312" w:eastAsia="楷体_GB2312" w:cs="楷体_GB2312"/>
          <w:b/>
          <w:bCs/>
          <w:color w:val="000000" w:themeColor="text1"/>
          <w:sz w:val="30"/>
          <w:szCs w:val="30"/>
          <w14:textFill>
            <w14:solidFill>
              <w14:schemeClr w14:val="tx1"/>
            </w14:solidFill>
          </w14:textFill>
        </w:rPr>
        <w:t>4.“说明”一栏：</w:t>
      </w:r>
      <w:r>
        <w:rPr>
          <w:rFonts w:hint="eastAsia" w:ascii="楷体_GB2312" w:hAnsi="楷体_GB2312" w:eastAsia="楷体_GB2312" w:cs="楷体_GB2312"/>
          <w:color w:val="000000" w:themeColor="text1"/>
          <w:sz w:val="30"/>
          <w:szCs w:val="30"/>
          <w14:textFill>
            <w14:solidFill>
              <w14:schemeClr w14:val="tx1"/>
            </w14:solidFill>
          </w14:textFill>
        </w:rPr>
        <w:t>需列出作品是否获过市、县(市、区)级部门配套奖励</w:t>
      </w:r>
      <w:r>
        <w:rPr>
          <w:rFonts w:hint="eastAsia" w:ascii="楷体_GB2312" w:hAnsi="楷体_GB2312" w:eastAsia="楷体_GB2312" w:cs="楷体_GB2312"/>
          <w:color w:val="000000" w:themeColor="text1"/>
          <w:sz w:val="30"/>
          <w:szCs w:val="30"/>
          <w:lang w:eastAsia="zh-CN"/>
          <w14:textFill>
            <w14:solidFill>
              <w14:schemeClr w14:val="tx1"/>
            </w14:solidFill>
          </w14:textFill>
        </w:rPr>
        <w:t>。</w:t>
      </w:r>
    </w:p>
    <w:sectPr>
      <w:footerReference r:id="rId6" w:type="default"/>
      <w:pgSz w:w="16838" w:h="11906" w:orient="landscape"/>
      <w:pgMar w:top="1417"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5" w:lineRule="auto"/>
      <w:ind w:left="4095"/>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055"/>
      <w:rPr>
        <w:rFonts w:ascii="宋体" w:hAnsi="宋体" w:eastAsia="宋体" w:cs="宋体"/>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24D4"/>
    <w:multiLevelType w:val="singleLevel"/>
    <w:tmpl w:val="A10D24D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ZmJmZTMzNTNkMjM0OTliNGVhMTVkNTRkMGMyOTQifQ=="/>
  </w:docVars>
  <w:rsids>
    <w:rsidRoot w:val="4079036F"/>
    <w:rsid w:val="008D138C"/>
    <w:rsid w:val="010A6538"/>
    <w:rsid w:val="011D2710"/>
    <w:rsid w:val="017E6677"/>
    <w:rsid w:val="024C492F"/>
    <w:rsid w:val="034026E5"/>
    <w:rsid w:val="03C63FC1"/>
    <w:rsid w:val="05483AD3"/>
    <w:rsid w:val="05A351AD"/>
    <w:rsid w:val="06C13B3D"/>
    <w:rsid w:val="079F7349"/>
    <w:rsid w:val="0AAC68B2"/>
    <w:rsid w:val="0B2B3C7B"/>
    <w:rsid w:val="0C63490F"/>
    <w:rsid w:val="0D524ACF"/>
    <w:rsid w:val="0D646FD0"/>
    <w:rsid w:val="0DDC23D2"/>
    <w:rsid w:val="0DFE7425"/>
    <w:rsid w:val="0E7E0566"/>
    <w:rsid w:val="10057731"/>
    <w:rsid w:val="118B08E0"/>
    <w:rsid w:val="143D67CD"/>
    <w:rsid w:val="15393438"/>
    <w:rsid w:val="159F2896"/>
    <w:rsid w:val="1811244B"/>
    <w:rsid w:val="19BD63E6"/>
    <w:rsid w:val="1CE123EB"/>
    <w:rsid w:val="1D284868"/>
    <w:rsid w:val="1E6A13B1"/>
    <w:rsid w:val="1F1A1BE5"/>
    <w:rsid w:val="20564C93"/>
    <w:rsid w:val="22AC39C7"/>
    <w:rsid w:val="245C2C9F"/>
    <w:rsid w:val="27403F77"/>
    <w:rsid w:val="27B837A7"/>
    <w:rsid w:val="29995DFC"/>
    <w:rsid w:val="29B03871"/>
    <w:rsid w:val="29F3375E"/>
    <w:rsid w:val="2A756869"/>
    <w:rsid w:val="2B634913"/>
    <w:rsid w:val="2B6A5CA2"/>
    <w:rsid w:val="2E71778E"/>
    <w:rsid w:val="2E76670C"/>
    <w:rsid w:val="2F3C7955"/>
    <w:rsid w:val="2F5729E1"/>
    <w:rsid w:val="32780CA4"/>
    <w:rsid w:val="38FC0984"/>
    <w:rsid w:val="39FE4185"/>
    <w:rsid w:val="3BB52F69"/>
    <w:rsid w:val="3C2F4ACA"/>
    <w:rsid w:val="3C6D55F2"/>
    <w:rsid w:val="3EA370A9"/>
    <w:rsid w:val="3EFF2278"/>
    <w:rsid w:val="4079036F"/>
    <w:rsid w:val="41B75F61"/>
    <w:rsid w:val="425C413F"/>
    <w:rsid w:val="42EF6D61"/>
    <w:rsid w:val="44466E54"/>
    <w:rsid w:val="446E63AB"/>
    <w:rsid w:val="44872FC9"/>
    <w:rsid w:val="46A75BA4"/>
    <w:rsid w:val="47C016D8"/>
    <w:rsid w:val="47C85DD2"/>
    <w:rsid w:val="47E76524"/>
    <w:rsid w:val="48BD09AC"/>
    <w:rsid w:val="495B0FC1"/>
    <w:rsid w:val="4C4A14AC"/>
    <w:rsid w:val="4F4E2AF6"/>
    <w:rsid w:val="4F5A7C58"/>
    <w:rsid w:val="510A745C"/>
    <w:rsid w:val="555D13B0"/>
    <w:rsid w:val="56A93273"/>
    <w:rsid w:val="570D1A54"/>
    <w:rsid w:val="57774253"/>
    <w:rsid w:val="599B15D3"/>
    <w:rsid w:val="5A47702B"/>
    <w:rsid w:val="5AFF70F5"/>
    <w:rsid w:val="5B1F1D55"/>
    <w:rsid w:val="5B4B46B3"/>
    <w:rsid w:val="5BA34735"/>
    <w:rsid w:val="5D7F4AC9"/>
    <w:rsid w:val="5E033269"/>
    <w:rsid w:val="5E9D36BD"/>
    <w:rsid w:val="618172C6"/>
    <w:rsid w:val="64C0772E"/>
    <w:rsid w:val="65554CF2"/>
    <w:rsid w:val="66241666"/>
    <w:rsid w:val="674C3ED2"/>
    <w:rsid w:val="696324F7"/>
    <w:rsid w:val="6A9E7E84"/>
    <w:rsid w:val="6BD95749"/>
    <w:rsid w:val="6F337A6C"/>
    <w:rsid w:val="710A45D1"/>
    <w:rsid w:val="7249173A"/>
    <w:rsid w:val="730E4732"/>
    <w:rsid w:val="75846F2D"/>
    <w:rsid w:val="7A9B57F3"/>
    <w:rsid w:val="7C564F16"/>
    <w:rsid w:val="7D4C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99"/>
    <w:pPr>
      <w:ind w:firstLine="420" w:firstLineChars="200"/>
    </w:pPr>
  </w:style>
  <w:style w:type="paragraph" w:customStyle="1" w:styleId="1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apple-converted-space"/>
    <w:basedOn w:val="6"/>
    <w:qFormat/>
    <w:uiPriority w:val="99"/>
    <w:rPr>
      <w:rFonts w:cs="Times New Roman"/>
    </w:rPr>
  </w:style>
  <w:style w:type="paragraph" w:customStyle="1" w:styleId="12">
    <w:name w:val="Table Text"/>
    <w:basedOn w:val="1"/>
    <w:semiHidden/>
    <w:qFormat/>
    <w:uiPriority w:val="0"/>
    <w:rPr>
      <w:rFonts w:ascii="仿宋" w:hAnsi="仿宋" w:eastAsia="仿宋" w:cs="仿宋"/>
      <w:sz w:val="32"/>
      <w:szCs w:val="32"/>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2023-10-31T08:35:00Z</dcterms:created>
  <dc:creator>何小以。</dc:creator>
  <cp:lastModifiedBy>Administrator</cp:lastModifiedBy>
  <cp:lastPrinted>2023-11-29T01:37:00Z</cp:lastPrinted>
  <dcterms:modified xsi:type="dcterms:W3CDTF">2023-11-29T01:58:07Z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588F948DB01643C688BE66DDDC5603BD_13</vt:lpwstr>
  </property>
</Properties>
</file>