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bdr w:val="none" w:color="auto" w:sz="0" w:space="0"/>
          <w:shd w:val="clear" w:fill="FFFFFF"/>
        </w:rPr>
        <w:t>根治形式主义</w:t>
      </w:r>
      <w:bookmarkStart w:id="0" w:name="_GoBack"/>
      <w:bookmarkEnd w:id="0"/>
      <w:r>
        <w:rPr>
          <w:rFonts w:hint="eastAsia" w:ascii="微软雅黑" w:hAnsi="微软雅黑" w:eastAsia="微软雅黑" w:cs="微软雅黑"/>
          <w:b/>
          <w:bCs/>
          <w:i w:val="0"/>
          <w:iCs w:val="0"/>
          <w:caps w:val="0"/>
          <w:color w:val="000000"/>
          <w:spacing w:val="0"/>
          <w:sz w:val="36"/>
          <w:szCs w:val="36"/>
          <w:bdr w:val="none" w:color="auto" w:sz="0" w:space="0"/>
          <w:shd w:val="clear" w:fill="FFFFFF"/>
        </w:rPr>
        <w:t>要一抓到底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bdr w:val="none" w:color="auto" w:sz="0" w:space="0"/>
          <w:shd w:val="clear" w:fill="FFFFFF"/>
        </w:rPr>
        <w:t>经济日报评论员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bdr w:val="none" w:color="auto" w:sz="0" w:space="0"/>
          <w:shd w:val="clear" w:fill="FFFFFF"/>
        </w:rPr>
        <w:t>2024年08月28日08:25    来源：</w:t>
      </w:r>
      <w:r>
        <w:rPr>
          <w:rFonts w:hint="eastAsia" w:ascii="宋体" w:hAnsi="宋体" w:eastAsia="宋体" w:cs="宋体"/>
          <w:i w:val="0"/>
          <w:iCs w:val="0"/>
          <w:caps w:val="0"/>
          <w:color w:val="000000"/>
          <w:spacing w:val="0"/>
          <w:sz w:val="18"/>
          <w:szCs w:val="18"/>
          <w:u w:val="none"/>
          <w:bdr w:val="none" w:color="auto" w:sz="0" w:space="0"/>
          <w:shd w:val="clear" w:fill="FFFFFF"/>
        </w:rPr>
        <w:fldChar w:fldCharType="begin"/>
      </w:r>
      <w:r>
        <w:rPr>
          <w:rFonts w:hint="eastAsia" w:ascii="宋体" w:hAnsi="宋体" w:eastAsia="宋体" w:cs="宋体"/>
          <w:i w:val="0"/>
          <w:iCs w:val="0"/>
          <w:caps w:val="0"/>
          <w:color w:val="000000"/>
          <w:spacing w:val="0"/>
          <w:sz w:val="18"/>
          <w:szCs w:val="18"/>
          <w:u w:val="none"/>
          <w:bdr w:val="none" w:color="auto" w:sz="0" w:space="0"/>
          <w:shd w:val="clear" w:fill="FFFFFF"/>
        </w:rPr>
        <w:instrText xml:space="preserve"> HYPERLINK "http://paper.ce.cn/pc/content/202408/28/content_300104.html" \t "http://theory.people.com.cn/n1/2024/0828/_blank" </w:instrText>
      </w:r>
      <w:r>
        <w:rPr>
          <w:rFonts w:hint="eastAsia" w:ascii="宋体" w:hAnsi="宋体" w:eastAsia="宋体" w:cs="宋体"/>
          <w:i w:val="0"/>
          <w:iCs w:val="0"/>
          <w:caps w:val="0"/>
          <w:color w:val="000000"/>
          <w:spacing w:val="0"/>
          <w:sz w:val="18"/>
          <w:szCs w:val="18"/>
          <w:u w:val="none"/>
          <w:bdr w:val="none" w:color="auto" w:sz="0" w:space="0"/>
          <w:shd w:val="clear" w:fill="FFFFFF"/>
        </w:rPr>
        <w:fldChar w:fldCharType="separate"/>
      </w:r>
      <w:r>
        <w:rPr>
          <w:rStyle w:val="6"/>
          <w:rFonts w:hint="eastAsia" w:ascii="宋体" w:hAnsi="宋体" w:eastAsia="宋体" w:cs="宋体"/>
          <w:i w:val="0"/>
          <w:iCs w:val="0"/>
          <w:caps w:val="0"/>
          <w:color w:val="000000"/>
          <w:spacing w:val="0"/>
          <w:sz w:val="18"/>
          <w:szCs w:val="18"/>
          <w:u w:val="none"/>
          <w:bdr w:val="none" w:color="auto" w:sz="0" w:space="0"/>
          <w:shd w:val="clear" w:fill="FFFFFF"/>
        </w:rPr>
        <w:t>经济日报</w:t>
      </w:r>
      <w:r>
        <w:rPr>
          <w:rFonts w:hint="eastAsia" w:ascii="宋体" w:hAnsi="宋体" w:eastAsia="宋体" w:cs="宋体"/>
          <w:i w:val="0"/>
          <w:iCs w:val="0"/>
          <w:caps w:val="0"/>
          <w:color w:val="000000"/>
          <w:spacing w:val="0"/>
          <w:sz w:val="18"/>
          <w:szCs w:val="18"/>
          <w:u w:val="none"/>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宋体" w:hAnsi="宋体" w:eastAsia="宋体" w:cs="宋体"/>
          <w:caps w:val="0"/>
          <w:color w:val="000000"/>
          <w:spacing w:val="0"/>
          <w:sz w:val="21"/>
          <w:szCs w:val="21"/>
        </w:rPr>
      </w:pPr>
      <w:r>
        <w:rPr>
          <w:rFonts w:hint="eastAsia" w:ascii="宋体" w:hAnsi="宋体" w:eastAsia="宋体" w:cs="宋体"/>
          <w:caps w:val="0"/>
          <w:color w:val="000000"/>
          <w:spacing w:val="0"/>
          <w:kern w:val="0"/>
          <w:sz w:val="21"/>
          <w:szCs w:val="21"/>
          <w:bdr w:val="none" w:color="auto" w:sz="0" w:space="0"/>
          <w:shd w:val="clear" w:fill="FFFFFF"/>
          <w:lang w:val="en-US" w:eastAsia="zh-CN" w:bidi="ar"/>
        </w:rPr>
        <w:t>原标题：根治形式主义要一抓到底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日前，中央层面整治形式主义为基层减负专项工作机制办公室会同中央纪委办公厅，再次公开通报几起典型问题，彰显了一抓到底的决心，要求各地区将这项工作落到实处。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从“借调教师占工作人员比重曾高达60%以上，有的借调时间超过20年”，到“用摊派或变相摊派的资金，举办节庆活动”，再到“要求下属企业一年参加会议800余次，平均每个工作日超过3次”，此次公开通报的典型问题，暴露出的形式主义、官僚主义顽疾仍然突出。《整治形式主义为基层减负若干规定》的印发，瞄准突出问题，把近年来整治工作的制度要求贯通起来，首次以党内法规形式制定出台为基层减负的制度规范，形成铁规矩、“硬杠杠”，为基层干部心无旁骛地担当作为、干事创业提供有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作为贯彻落实党中央决策部署的“最后一公里”、联系服务群众的“最先一公里”，基层事务繁杂，基层干部直面群众现实需求，大事小情都要管。从源头整治形式主义为基层减负，再怎么重视都不为过，取得的成效也是有目共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然而，形式主义、官僚主义就像“牛皮癣”，具有顽固性和反复性，继“打卡”“留痕”“留档”之类的老问题后，又衍生出“新马甲”“新变种”。有的地方打着“民生福祉”“留住乡愁”“城市名片”等旗号搞花架子工程，看似做事，实则作秀；有的地方“牌”满为患，却不具备与之相匹配的能力，压根“扛不动”“兜不住”；有基层干部反映，一些指标任务下派，省里给一周时间，到市里压缩为3天，县里下通知时干脆要求上午部署工作，下班前就要报材料。如此种种，不一而足，最终只会绑住干部、脱离群众，浪费资源、拖累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究其原因，既有政绩观存在偏差、急于造“显绩”的问题，违背常识和干群意愿，让基层干部无谓劳动；也有责任心缺失、习惯动动嘴提要求的毛病，变层层落实为层层甩手、层层加码，基层一线只能疲于应付、照抄照搬；更有惯性思维、路径依赖的短板，面对新形势新情况新任务，除了频繁折腾基层，不知道如何推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为基层卸下不必要的负担，是一场攻坚战、持久战，必须标本兼治，而且越往纵深推进，越要健全长效机制。《中共中央关于进一步全面深化改革、推进中国式现代化的决定》中的相关部署、《整治形式主义为基层减负若干规定》中的具体要求，都是在用改革创新的办法为基层减负，把经过实践检验、行之有效的经验做法固化下来上升为制度规范，并着眼于破解难点、堵点问题提出硬举措，划界限、明权责、定规矩，以一系列禁止性、限制性规定倒逼治理体系和治理能力的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为基层减负的目标是实干实效，减负的同时强化赋能，推动资源、服务、管理向基层下沉，为基层干事创业留足空间。广大基层干部主动担当作为，多出实招、办实事，着力解决老百姓的急难愁盼问题，才能在推动高质量发展中跑出加速度、干出新业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09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2024-09-08T07:04:04Z</dcterms:created>
  <dc:creator>yzzx</dc:creator>
  <cp:lastModifiedBy>yzzx</cp:lastModifiedBy>
  <dcterms:modified xsi:type="dcterms:W3CDTF">2024-09-08T07:04:43Z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5B9F9B6E3DC044ADB96E908556EC0E15</vt:lpwstr>
  </property>
</Properties>
</file>