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黑体"/>
          <w:b/>
          <w:bCs/>
          <w:sz w:val="28"/>
          <w:lang w:val="en-US" w:eastAsia="zh-CN"/>
        </w:rPr>
      </w:pPr>
      <w:r>
        <w:rPr>
          <w:rFonts w:hint="eastAsia" w:ascii="黑体" w:hAnsi="黑体" w:eastAsia="黑体" w:cs="黑体"/>
          <w:b/>
          <w:bCs/>
          <w:sz w:val="28"/>
        </w:rPr>
        <w:t>江苏省仪征中学2024-2025学年度第</w:t>
      </w:r>
      <w:r>
        <w:rPr>
          <w:rFonts w:hint="eastAsia" w:ascii="黑体" w:hAnsi="黑体" w:eastAsia="黑体" w:cs="黑体"/>
          <w:b/>
          <w:bCs/>
          <w:sz w:val="28"/>
          <w:lang w:val="en-US" w:eastAsia="zh-CN"/>
        </w:rPr>
        <w:t>二</w:t>
      </w:r>
      <w:r>
        <w:rPr>
          <w:rFonts w:hint="eastAsia" w:ascii="黑体" w:hAnsi="黑体" w:eastAsia="黑体" w:cs="黑体"/>
          <w:b/>
          <w:bCs/>
          <w:sz w:val="28"/>
        </w:rPr>
        <w:t>学期高二历史提升性练习</w:t>
      </w:r>
      <w:r>
        <w:rPr>
          <w:rFonts w:hint="eastAsia" w:ascii="黑体" w:hAnsi="黑体" w:eastAsia="黑体" w:cs="黑体"/>
          <w:b/>
          <w:bCs/>
          <w:sz w:val="28"/>
          <w:lang w:val="en-US" w:eastAsia="zh-CN"/>
        </w:rPr>
        <w:t>八</w:t>
      </w:r>
    </w:p>
    <w:p>
      <w:pPr>
        <w:ind w:left="2148"/>
        <w:rPr>
          <w:rFonts w:ascii="楷体" w:hAnsi="楷体" w:eastAsia="楷体"/>
          <w:sz w:val="24"/>
          <w:szCs w:val="24"/>
        </w:rPr>
      </w:pPr>
      <w:r>
        <w:rPr>
          <w:rFonts w:hint="eastAsia" w:ascii="楷体" w:hAnsi="楷体" w:eastAsia="楷体"/>
          <w:sz w:val="24"/>
          <w:szCs w:val="24"/>
        </w:rPr>
        <w:t xml:space="preserve">研制人：秦洪虹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ascii="Times New Roman" w:hAnsi="Times New Roman"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时间：</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5</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4</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5</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50分钟</w:t>
      </w:r>
    </w:p>
    <w:p>
      <w:pPr>
        <w:pStyle w:val="3"/>
        <w:spacing w:after="0" w:line="240" w:lineRule="auto"/>
        <w:rPr>
          <w:rFonts w:ascii="宋体" w:hAnsi="宋体" w:eastAsia="宋体" w:cs="宋体"/>
          <w:sz w:val="21"/>
          <w:szCs w:val="21"/>
          <w:lang w:eastAsia="zh-CN"/>
        </w:rPr>
      </w:pPr>
    </w:p>
    <w:p>
      <w:pPr>
        <w:widowControl/>
        <w:jc w:val="left"/>
        <w:rPr>
          <w:rFonts w:ascii="宋体" w:hAnsi="宋体" w:cs="宋体"/>
          <w:bCs/>
          <w:kern w:val="0"/>
          <w:szCs w:val="21"/>
        </w:rPr>
      </w:pPr>
      <w:r>
        <w:rPr>
          <w:rFonts w:hint="eastAsia" w:ascii="宋体" w:hAnsi="宋体" w:cs="宋体"/>
          <w:b/>
          <w:kern w:val="0"/>
          <w:szCs w:val="21"/>
        </w:rPr>
        <w:t>一、选择题</w:t>
      </w:r>
      <w:r>
        <w:rPr>
          <w:rFonts w:hint="eastAsia"/>
          <w:b/>
        </w:rPr>
        <w:t>（共16题</w:t>
      </w:r>
      <w:r>
        <w:rPr>
          <w:rFonts w:hint="eastAsia"/>
          <w:b/>
          <w:lang w:eastAsia="zh-CN"/>
        </w:rPr>
        <w:t>，</w:t>
      </w:r>
      <w:r>
        <w:rPr>
          <w:rFonts w:hint="eastAsia"/>
          <w:b/>
        </w:rPr>
        <w:t>每题3分</w:t>
      </w:r>
      <w:r>
        <w:rPr>
          <w:rFonts w:hint="eastAsia"/>
          <w:b/>
          <w:lang w:eastAsia="zh-CN"/>
        </w:rPr>
        <w:t>，</w:t>
      </w:r>
      <w:r>
        <w:rPr>
          <w:rFonts w:hint="eastAsia"/>
          <w:b/>
        </w:rPr>
        <w:t>合计48分）</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全球南方”指“遭遇”过西方现代性的冲击，曾沦为殖民地或半殖民地，又在非殖民化进程中持续“觉醒”的发展中国家。2024年“金砖国家”的扩容增强了“全球南方”的力量，9月“中非合作论坛峰会”共商合作、共话未来，点亮了“全球南方时刻”。“全球南方”的崛起</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A．标志新兴国家开始登上国际政治舞台              B．源于发展中国家相似的历史经历</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C．有利于推动全球治理体系的改革完善              D．表明新的世界格局已经完全形成</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中国现代交通领域发生了深刻变革。在桥梁建设方面，港珠澳大桥集桥、岛、隧为一体，创造了多项世界之最；在轨道交通领域，磁悬浮列车等新型交通工具的研发与应用取得进展，城市地铁网络日益密集，中欧班列的开通，加强了中国与欧洲沿线国家的经贸往来。中国现代交通的发展</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A．表明中国交通技术已全面领先世界                B．侧重于轨道交通领域的新突破</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C．助力国家经济发展与对外开放战略                D．把重点集中于基础设施的建设</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3.21世纪以来，全球共出现两次追求世界信息新秩序的浪潮，以网络和智能传播为媒介，探讨“网络治理”“网络霸权”“AI治理”“AI霸权”等焦点问题，并得到联合国、政府和民间组织的高度关注。这</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A．表明信息技术发展引发了国际关系格局新调整      B．反映了国际社会对信息传播领域公平性的诉求</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C．体现了新兴技术发展促使国际合作机制的变革      D．意味着网络和智能传播成为国际竞争的新焦点</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4.下表是有关宋朝经济的史书记载。据此表可推知，两宋时期</w:t>
      </w:r>
    </w:p>
    <w:tbl>
      <w:tblPr>
        <w:tblStyle w:val="9"/>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50"/>
        <w:gridCol w:w="7493"/>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时间</w:t>
            </w:r>
          </w:p>
        </w:tc>
        <w:tc>
          <w:tcPr>
            <w:tcW w:w="74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记载</w:t>
            </w:r>
          </w:p>
        </w:tc>
        <w:tc>
          <w:tcPr>
            <w:tcW w:w="175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7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北宋</w:t>
            </w:r>
          </w:p>
        </w:tc>
        <w:tc>
          <w:tcPr>
            <w:tcW w:w="74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“蜀之茶园，皆民两税地，不殖五谷，唯宜种茶。卖茶资衣食，与农夫业田无异”</w:t>
            </w:r>
          </w:p>
        </w:tc>
        <w:tc>
          <w:tcPr>
            <w:tcW w:w="175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《宋史·食货志》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7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南宋</w:t>
            </w:r>
          </w:p>
        </w:tc>
        <w:tc>
          <w:tcPr>
            <w:tcW w:w="749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“甘蔗所在皆植，独福唐、四明、番禺、广汉、遂宁有糖冰，而遂宁为冠…”</w:t>
            </w:r>
          </w:p>
        </w:tc>
        <w:tc>
          <w:tcPr>
            <w:tcW w:w="175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《糖霜谱》</w:t>
            </w:r>
          </w:p>
        </w:tc>
      </w:tr>
    </w:tbl>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A．传统经济结构逐渐解体                         B．货物流通渠道多元并进</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C．农业生产呈专业化趋势                         D．农产品商品化程度提高</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5．下表为东汉至唐中后期庄园经济发展规模模拟图（东汉数据为100），表中北魏至唐前期庄园经济发展态势形成的主要因素是</w:t>
      </w:r>
    </w:p>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drawing>
          <wp:inline distT="0" distB="0" distL="114300" distR="114300">
            <wp:extent cx="4985385" cy="1371600"/>
            <wp:effectExtent l="0" t="0" r="5715" b="0"/>
            <wp:docPr id="3" name="图片 1" descr="@@@ab462e30690e405eb1cd25cd389fe9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ab462e30690e405eb1cd25cd389fe96b"/>
                    <pic:cNvPicPr>
                      <a:picLocks noChangeAspect="1"/>
                    </pic:cNvPicPr>
                  </pic:nvPicPr>
                  <pic:blipFill>
                    <a:blip r:embed="rId5"/>
                    <a:stretch>
                      <a:fillRect/>
                    </a:stretch>
                  </pic:blipFill>
                  <pic:spPr>
                    <a:xfrm>
                      <a:off x="0" y="0"/>
                      <a:ext cx="4985385" cy="1371600"/>
                    </a:xfrm>
                    <a:prstGeom prst="rect">
                      <a:avLst/>
                    </a:prstGeom>
                    <a:noFill/>
                    <a:ln>
                      <a:noFill/>
                    </a:ln>
                  </pic:spPr>
                </pic:pic>
              </a:graphicData>
            </a:graphic>
          </wp:inline>
        </w:drawing>
      </w:r>
    </w:p>
    <w:p>
      <w:pPr>
        <w:pStyle w:val="19"/>
        <w:numPr>
          <w:ilvl w:val="0"/>
          <w:numId w:val="1"/>
        </w:numPr>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经济重心的南移                              B．两税法的推行      </w:t>
      </w:r>
    </w:p>
    <w:p>
      <w:pPr>
        <w:pStyle w:val="19"/>
        <w:numPr>
          <w:numId w:val="0"/>
        </w:numPr>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C．农具的不断革新                              D．均田制的实施</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6.下表为1887-1894年清政府铁路外债一览表。据表可推知，这一时期</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1500"/>
        <w:gridCol w:w="1500"/>
        <w:gridCol w:w="108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时间</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借款者</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贷款者</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金额／两</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年息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1887年</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中国铁路公司</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英国怡和洋行</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637000</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1887年</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中国铁路公司</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日本华泰银行</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439000</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1887年</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中国铁路公司</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英国怡和洋行</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150000</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1888年</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中国铁路公司</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英国汇丰银行</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134500</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1894年</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中国铁路公司</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英国汇丰银行</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200000</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不详</w:t>
            </w:r>
          </w:p>
        </w:tc>
      </w:tr>
    </w:tbl>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A．近代民族交通业艰难起步                     B．列强侵华以资本输出为主</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C．清政府沦为“洋人的朝廷”                   D．英日两国的殖民矛盾尖锐</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7.1833年蒸汽动力机器被运用到面包生产中，强有力的机器使面包轻而易举地被大批量生产；19世纪30年代末出现的饼干塑形机将大量饼干制成大小一致的几何图形，这些都是独立工匠用手工难以完成的。这反映出</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A．物种交流改变饮食习惯                       B．近代工业影响食品生产</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C．垄断组织推动工业生产                       D．饮食结构趋向科学理性</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8.1863-1872年，在清政府不同意修建铁路的情况下，英国、法国、美国联合多家洋行开始私建上海至吴淞之间的铁路。1877年，清政府收回吴淞铁路并拆除重建，定名淞沪铁路。受交通之利，铁路沿线的商人们纷纷购地建厂。这说明淞沪铁路</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A．推动中国近代工业化进程                     B．是国人自行设计与施工的第一条铁路干线</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C．有利于平定西北边疆危机                     D．采用官督商办民用股份制企业的经营方式</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9.以及以“棉”著称的南翔镇等具有专业特色的新兴市镇。而华北地区的市镇不仅以间隔性的定期市为主，其专业化程度也比江南地区要低得多。这反映了</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A．经济重心不断南移                           B．江南地区为世界贸易中心</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C．自然经济开始解体                           D．区域经济发展出现不平衡</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10.西汉农书《氾胜之书》中提到：瓜田可同时种薙（小根蒜）或小豆，豆叶还可卖钱；种瓠既可卖瓢，其瓤还可以喂猪，种子用来制作明烛，这样可以卖出更多的钱。这一记载</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A．保障小农经济的稳定性                       B．蕴含多种经营的思想观念</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drawing>
          <wp:anchor distT="0" distB="0" distL="114300" distR="114300" simplePos="0" relativeHeight="251659264" behindDoc="0" locked="0" layoutInCell="1" allowOverlap="1">
            <wp:simplePos x="0" y="0"/>
            <wp:positionH relativeFrom="column">
              <wp:posOffset>3681095</wp:posOffset>
            </wp:positionH>
            <wp:positionV relativeFrom="paragraph">
              <wp:posOffset>239395</wp:posOffset>
            </wp:positionV>
            <wp:extent cx="2376805" cy="1281430"/>
            <wp:effectExtent l="0" t="0" r="10795" b="1270"/>
            <wp:wrapSquare wrapText="bothSides"/>
            <wp:docPr id="2" name="图片 2" descr="@@@e30a9f38-fcac-45c7-be54-81d305cf5e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30a9f38-fcac-45c7-be54-81d305cf5e7e"/>
                    <pic:cNvPicPr>
                      <a:picLocks noChangeAspect="1"/>
                    </pic:cNvPicPr>
                  </pic:nvPicPr>
                  <pic:blipFill>
                    <a:blip r:embed="rId6"/>
                    <a:stretch>
                      <a:fillRect/>
                    </a:stretch>
                  </pic:blipFill>
                  <pic:spPr>
                    <a:xfrm>
                      <a:off x="0" y="0"/>
                      <a:ext cx="2376805" cy="1281430"/>
                    </a:xfrm>
                    <a:prstGeom prst="rect">
                      <a:avLst/>
                    </a:prstGeom>
                    <a:noFill/>
                    <a:ln>
                      <a:noFill/>
                    </a:ln>
                  </pic:spPr>
                </pic:pic>
              </a:graphicData>
            </a:graphic>
          </wp:anchor>
        </w:drawing>
      </w:r>
      <w:r>
        <w:rPr>
          <w:rFonts w:hint="eastAsia" w:ascii="宋体" w:hAnsi="宋体" w:cs="宋体" w:eastAsiaTheme="minorEastAsia"/>
          <w:bCs/>
          <w:kern w:val="0"/>
          <w:sz w:val="21"/>
          <w:szCs w:val="21"/>
          <w:lang w:val="en-US" w:eastAsia="zh-CN" w:bidi="ar-SA"/>
        </w:rPr>
        <w:t>C．加速集体劳作方式瓦解                       D．体现重农抑商的经济政策</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11.春秋战国时期，楚国设立了专门的官员来管理漆器生产，其漆器闻名列国。下图为“楚国漆器手工业行政管理示意图”。这表明当时漆器生产</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A．生产工艺复杂                    B．官僚机构臃肿     </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C．管理体系健全                    D．生产分工明确</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12.下表为中国近代政府为防疫制定的相关法律法规。据此可知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4269"/>
        <w:gridCol w:w="4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时间</w:t>
            </w:r>
          </w:p>
        </w:tc>
        <w:tc>
          <w:tcPr>
            <w:tcW w:w="42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法律法规</w:t>
            </w:r>
          </w:p>
        </w:tc>
        <w:tc>
          <w:tcPr>
            <w:tcW w:w="496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相关内容或地位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1915</w:t>
            </w:r>
          </w:p>
        </w:tc>
        <w:tc>
          <w:tcPr>
            <w:tcW w:w="42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《传染病预防条例》</w:t>
            </w:r>
          </w:p>
        </w:tc>
        <w:tc>
          <w:tcPr>
            <w:tcW w:w="496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标志着我国近代卫生防疫立法迈出了重要的一步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1918</w:t>
            </w:r>
          </w:p>
        </w:tc>
        <w:tc>
          <w:tcPr>
            <w:tcW w:w="42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《清洁方法消毒方法》</w:t>
            </w:r>
          </w:p>
        </w:tc>
        <w:tc>
          <w:tcPr>
            <w:tcW w:w="496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要求对公共环境进行定期的检查和消毒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1928</w:t>
            </w:r>
          </w:p>
        </w:tc>
        <w:tc>
          <w:tcPr>
            <w:tcW w:w="42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《污物扫除条例》《污物扫除条例施行细则》</w:t>
            </w:r>
          </w:p>
        </w:tc>
        <w:tc>
          <w:tcPr>
            <w:tcW w:w="496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规定了垃圾、秽水、粪溺等污物的处理准则</w:t>
            </w:r>
          </w:p>
        </w:tc>
      </w:tr>
    </w:tbl>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A．国人卫生思想发生了质变                     B．晚清政府防疫观念的变化</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C．中国近代防疫机制逐步发展                   D．西学东渐推进防疫制度健全</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13.据河南部分地区地方志记载，明永乐年间，陈留县令徐正“置集场以通货，邑遂富庶，民咸怀之”。汝州温泉镇，旧有集市被废，清道光四年，“州守刘准复集，民皆称便，立感德碑”。据此可知，民众的感怀缘于</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A．对政治权力的敬畏                            B．集镇建设保护其财产</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C．对生活富足的满足                            D．地方治理便利了民生</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14.宋人陈剪在《农书》中指出，越是远古，农业越是“靠天吃饭”,而宋人则多有积极与山争地(修筑梯田等)、与水争田(围湖、围海造田等)之举。他认为“天时不如地利” 自为理之必然。这表明陈剪</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A．主张农业生产应遵循自然规律                  B．强调积极主动地改造利用自然</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C．注重总结传统农业生产经验                    D．深受程朱理学格物致知影响</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15.马尼拉主教贝扎在1609年评论道，近年来有如此之多的中国丝织品被出口到墨西哥和秘鲁，以至于社会底层和印第安人都炫耀着华丽的丝绸服饰，俨然已同他们的西班牙主人平起平坐。该评论反映出</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A．印第安人民族民主意识高涨                    B．海上贸易改变拉美人民生活</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C．西班牙的殖民统治面临危机                    D．拉美国家过于依赖出口贸易</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16.汉代《二年律令·田律》规定：如果牲畜食用或损毁他人庄稼，将对主人实施惩罚，并不准牧猪。因此汉代主要在沼泽洼地牧猪。魏晋以后，牲畜逐渐由牧养变为圈养，牧猪就很罕见了。影响牲畜饲养方式演变的主要因素是</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A．农耕经济的发展                               B．律令儒家化的推动</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C．政权并立的局面                               D．经济重心完成南移</w:t>
      </w:r>
    </w:p>
    <w:p>
      <w:pPr>
        <w:numPr>
          <w:ilvl w:val="0"/>
          <w:numId w:val="0"/>
        </w:numPr>
        <w:tabs>
          <w:tab w:val="left" w:pos="4620"/>
        </w:tabs>
        <w:snapToGrid w:val="0"/>
        <w:rPr>
          <w:rFonts w:hint="eastAsia" w:cs="宋体" w:asciiTheme="minorEastAsia" w:hAnsiTheme="minorEastAsia"/>
          <w:b/>
          <w:bCs/>
          <w:color w:val="000000" w:themeColor="text1"/>
          <w:szCs w:val="21"/>
          <w:lang w:val="en-US" w:eastAsia="zh-CN"/>
          <w14:textFill>
            <w14:solidFill>
              <w14:schemeClr w14:val="tx1"/>
            </w14:solidFill>
          </w14:textFill>
        </w:rPr>
      </w:pPr>
    </w:p>
    <w:p>
      <w:pPr>
        <w:numPr>
          <w:ilvl w:val="0"/>
          <w:numId w:val="0"/>
        </w:numPr>
        <w:tabs>
          <w:tab w:val="left" w:pos="4620"/>
        </w:tabs>
        <w:snapToGrid w:val="0"/>
        <w:rPr>
          <w:rFonts w:hint="eastAsia" w:ascii="宋体" w:hAnsi="宋体" w:cs="宋体"/>
          <w:bCs/>
          <w:kern w:val="0"/>
          <w:szCs w:val="21"/>
          <w:lang w:val="en-US" w:eastAsia="zh-CN"/>
        </w:rPr>
      </w:pPr>
      <w:r>
        <w:rPr>
          <w:rFonts w:hint="eastAsia" w:cs="宋体" w:asciiTheme="minorEastAsia" w:hAnsiTheme="minorEastAsia"/>
          <w:b/>
          <w:bCs/>
          <w:color w:val="000000" w:themeColor="text1"/>
          <w:szCs w:val="21"/>
          <w:lang w:val="en-US" w:eastAsia="zh-CN"/>
          <w14:textFill>
            <w14:solidFill>
              <w14:schemeClr w14:val="tx1"/>
            </w14:solidFill>
          </w14:textFill>
        </w:rPr>
        <w:t>二、</w:t>
      </w:r>
      <w:r>
        <w:rPr>
          <w:rFonts w:hint="eastAsia" w:cs="宋体" w:asciiTheme="minorEastAsia" w:hAnsiTheme="minorEastAsia"/>
          <w:b/>
          <w:bCs/>
          <w:color w:val="000000" w:themeColor="text1"/>
          <w:szCs w:val="21"/>
          <w14:textFill>
            <w14:solidFill>
              <w14:schemeClr w14:val="tx1"/>
            </w14:solidFill>
          </w14:textFill>
        </w:rPr>
        <w:t>非选择题</w:t>
      </w:r>
    </w:p>
    <w:p>
      <w:pP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w:t>
      </w:r>
      <w:r>
        <w:rPr>
          <w:rFonts w:hint="eastAsia" w:ascii="宋体" w:hAnsi="宋体" w:cs="宋体"/>
          <w:bCs/>
          <w:kern w:val="0"/>
          <w:sz w:val="21"/>
          <w:szCs w:val="21"/>
          <w:lang w:val="en-US" w:eastAsia="zh-CN" w:bidi="ar-SA"/>
        </w:rPr>
        <w:t>12</w:t>
      </w:r>
      <w:r>
        <w:rPr>
          <w:rFonts w:hint="eastAsia" w:ascii="宋体" w:hAnsi="宋体" w:cs="宋体" w:eastAsiaTheme="minorEastAsia"/>
          <w:bCs/>
          <w:kern w:val="0"/>
          <w:sz w:val="21"/>
          <w:szCs w:val="21"/>
          <w:lang w:val="en-US" w:eastAsia="zh-CN" w:bidi="ar-SA"/>
        </w:rPr>
        <w:t>分）</w:t>
      </w:r>
      <w:r>
        <w:rPr>
          <w:rFonts w:hint="eastAsia" w:ascii="宋体" w:hAnsi="宋体" w:cs="宋体"/>
          <w:bCs/>
          <w:kern w:val="0"/>
          <w:sz w:val="21"/>
          <w:szCs w:val="21"/>
          <w:lang w:val="en-US" w:eastAsia="zh-CN" w:bidi="ar-SA"/>
        </w:rPr>
        <w:t>17</w:t>
      </w:r>
      <w:r>
        <w:rPr>
          <w:rFonts w:hint="eastAsia" w:ascii="宋体" w:hAnsi="宋体" w:cs="宋体" w:eastAsiaTheme="minorEastAsia"/>
          <w:bCs/>
          <w:kern w:val="0"/>
          <w:sz w:val="21"/>
          <w:szCs w:val="21"/>
          <w:lang w:val="en-US" w:eastAsia="zh-CN" w:bidi="ar-SA"/>
        </w:rPr>
        <w:t>．阅读材料，完成下列要求。</w:t>
      </w:r>
    </w:p>
    <w:p>
      <w:pPr>
        <w:keepNext w:val="0"/>
        <w:keepLines w:val="0"/>
        <w:pageBreakBefore w:val="0"/>
        <w:widowControl w:val="0"/>
        <w:kinsoku/>
        <w:wordWrap/>
        <w:overflowPunct/>
        <w:topLinePunct w:val="0"/>
        <w:autoSpaceDE/>
        <w:autoSpaceDN/>
        <w:bidi w:val="0"/>
        <w:spacing w:line="240" w:lineRule="auto"/>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  曾国藩于1868年出任直隶总督，半年后他对直隶官员进行考核，并向朝廷上奏。他认为对官员的考核，可以达到“奖劝所加，精神一振，观摩惕励，可渐跻循良之域”的效果。下表是根据他对部分官员的考核清单而编制。</w:t>
      </w:r>
    </w:p>
    <w:tbl>
      <w:tblPr>
        <w:tblStyle w:val="9"/>
        <w:tblW w:w="951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09"/>
        <w:gridCol w:w="1316"/>
        <w:gridCol w:w="5225"/>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2" w:hRule="atLeast"/>
        </w:trPr>
        <w:tc>
          <w:tcPr>
            <w:tcW w:w="90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姓名</w:t>
            </w:r>
          </w:p>
        </w:tc>
        <w:tc>
          <w:tcPr>
            <w:tcW w:w="131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身份</w:t>
            </w:r>
          </w:p>
        </w:tc>
        <w:tc>
          <w:tcPr>
            <w:tcW w:w="52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考核评语</w:t>
            </w:r>
          </w:p>
        </w:tc>
        <w:tc>
          <w:tcPr>
            <w:tcW w:w="206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处置建议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65" w:hRule="atLeast"/>
        </w:trPr>
        <w:tc>
          <w:tcPr>
            <w:tcW w:w="909" w:type="dxa"/>
            <w:tcBorders>
              <w:top w:val="nil"/>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萧履中</w:t>
            </w:r>
          </w:p>
        </w:tc>
        <w:tc>
          <w:tcPr>
            <w:tcW w:w="1316" w:type="dxa"/>
            <w:tcBorders>
              <w:top w:val="nil"/>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南路厅同知</w:t>
            </w:r>
          </w:p>
        </w:tc>
        <w:tc>
          <w:tcPr>
            <w:tcW w:w="5225" w:type="dxa"/>
            <w:tcBorders>
              <w:top w:val="nil"/>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论事轩爽，能耐劳苦，处处以体恤民情为务</w:t>
            </w:r>
          </w:p>
        </w:tc>
        <w:tc>
          <w:tcPr>
            <w:tcW w:w="2067" w:type="dxa"/>
            <w:tcBorders>
              <w:top w:val="nil"/>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上达圣听，以表政绩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50" w:hRule="atLeast"/>
        </w:trPr>
        <w:tc>
          <w:tcPr>
            <w:tcW w:w="909" w:type="dxa"/>
            <w:tcBorders>
              <w:top w:val="nil"/>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张延绪</w:t>
            </w:r>
          </w:p>
        </w:tc>
        <w:tc>
          <w:tcPr>
            <w:tcW w:w="1316" w:type="dxa"/>
            <w:tcBorders>
              <w:top w:val="nil"/>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候补知县</w:t>
            </w:r>
          </w:p>
        </w:tc>
        <w:tc>
          <w:tcPr>
            <w:tcW w:w="5225" w:type="dxa"/>
            <w:tcBorders>
              <w:top w:val="nil"/>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心地明白，办事安详，清理积案，力求公允</w:t>
            </w:r>
          </w:p>
        </w:tc>
        <w:tc>
          <w:tcPr>
            <w:tcW w:w="2067" w:type="dxa"/>
            <w:tcBorders>
              <w:top w:val="nil"/>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上达圣听，以表政绩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96" w:hRule="atLeast"/>
        </w:trPr>
        <w:tc>
          <w:tcPr>
            <w:tcW w:w="909" w:type="dxa"/>
            <w:tcBorders>
              <w:top w:val="nil"/>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胡季煊</w:t>
            </w:r>
          </w:p>
        </w:tc>
        <w:tc>
          <w:tcPr>
            <w:tcW w:w="1316" w:type="dxa"/>
            <w:tcBorders>
              <w:top w:val="nil"/>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宁津县知县</w:t>
            </w:r>
          </w:p>
        </w:tc>
        <w:tc>
          <w:tcPr>
            <w:tcW w:w="5225" w:type="dxa"/>
            <w:tcBorders>
              <w:top w:val="nil"/>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贪酷众著,民怨沸腾；宁津有呈控侵吞肥己各款，伪造巨款假账；株连平民，将其房产抄没变卖</w:t>
            </w:r>
          </w:p>
        </w:tc>
        <w:tc>
          <w:tcPr>
            <w:tcW w:w="2067" w:type="dxa"/>
            <w:tcBorders>
              <w:top w:val="nil"/>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即行革职，永不叙用；所控各款认真查办，另行奏结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55" w:hRule="atLeast"/>
        </w:trPr>
        <w:tc>
          <w:tcPr>
            <w:tcW w:w="909" w:type="dxa"/>
            <w:tcBorders>
              <w:top w:val="nil"/>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李作棠</w:t>
            </w:r>
          </w:p>
        </w:tc>
        <w:tc>
          <w:tcPr>
            <w:tcW w:w="1316" w:type="dxa"/>
            <w:tcBorders>
              <w:top w:val="nil"/>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保安州知州</w:t>
            </w:r>
          </w:p>
        </w:tc>
        <w:tc>
          <w:tcPr>
            <w:tcW w:w="5225" w:type="dxa"/>
            <w:tcBorders>
              <w:top w:val="nil"/>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性耽安逸，罢敕不识，公事委之书差，上下其手</w:t>
            </w:r>
          </w:p>
        </w:tc>
        <w:tc>
          <w:tcPr>
            <w:tcW w:w="2067" w:type="dxa"/>
            <w:tcBorders>
              <w:top w:val="nil"/>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以县丞降补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58" w:hRule="atLeast"/>
        </w:trPr>
        <w:tc>
          <w:tcPr>
            <w:tcW w:w="909" w:type="dxa"/>
            <w:tcBorders>
              <w:top w:val="nil"/>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宋炳文</w:t>
            </w:r>
          </w:p>
        </w:tc>
        <w:tc>
          <w:tcPr>
            <w:tcW w:w="1316" w:type="dxa"/>
            <w:tcBorders>
              <w:top w:val="nil"/>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冀州知州</w:t>
            </w:r>
          </w:p>
        </w:tc>
        <w:tc>
          <w:tcPr>
            <w:tcW w:w="5225" w:type="dxa"/>
            <w:tcBorders>
              <w:top w:val="nil"/>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性情疲缓，久有公事废弛之名：近尤精力衰颓，于大小政务不能照摄；惟居心厚道，且系进士出身</w:t>
            </w:r>
          </w:p>
        </w:tc>
        <w:tc>
          <w:tcPr>
            <w:tcW w:w="2067" w:type="dxa"/>
            <w:tcBorders>
              <w:top w:val="nil"/>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改为教职归部选用</w:t>
            </w:r>
          </w:p>
        </w:tc>
      </w:tr>
    </w:tbl>
    <w:p>
      <w:pPr>
        <w:keepNext w:val="0"/>
        <w:keepLines w:val="0"/>
        <w:pageBreakBefore w:val="0"/>
        <w:widowControl w:val="0"/>
        <w:kinsoku/>
        <w:wordWrap/>
        <w:overflowPunct/>
        <w:topLinePunct w:val="0"/>
        <w:autoSpaceDE/>
        <w:autoSpaceDN/>
        <w:bidi w:val="0"/>
        <w:spacing w:line="240" w:lineRule="auto"/>
        <w:jc w:val="righ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——据《曾国藩全集》</w:t>
      </w: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（1）据材料概括指出清代考核地方官员的依据。（6分）</w:t>
      </w: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cs="宋体" w:eastAsiaTheme="minorEastAsia"/>
          <w:bCs/>
          <w:kern w:val="0"/>
          <w:sz w:val="21"/>
          <w:szCs w:val="21"/>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（2）据材料并结合所学知识，说明清代考核地方官员的作用。（6分）</w:t>
      </w: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w:t>
      </w:r>
      <w:r>
        <w:rPr>
          <w:rFonts w:hint="eastAsia" w:ascii="宋体" w:hAnsi="宋体" w:cs="宋体"/>
          <w:bCs/>
          <w:kern w:val="0"/>
          <w:sz w:val="21"/>
          <w:szCs w:val="21"/>
          <w:lang w:val="en-US" w:eastAsia="zh-CN" w:bidi="ar-SA"/>
        </w:rPr>
        <w:t>3</w:t>
      </w:r>
      <w:r>
        <w:rPr>
          <w:rFonts w:hint="eastAsia" w:ascii="宋体" w:hAnsi="宋体" w:cs="宋体" w:eastAsiaTheme="minorEastAsia"/>
          <w:bCs/>
          <w:kern w:val="0"/>
          <w:sz w:val="21"/>
          <w:szCs w:val="21"/>
          <w:lang w:val="en-US" w:eastAsia="zh-CN" w:bidi="ar-SA"/>
        </w:rPr>
        <w:t>分）</w:t>
      </w:r>
      <w:r>
        <w:rPr>
          <w:rFonts w:hint="eastAsia" w:ascii="宋体" w:hAnsi="宋体" w:cs="宋体" w:eastAsiaTheme="minorEastAsia"/>
          <w:bCs/>
          <w:kern w:val="0"/>
          <w:sz w:val="21"/>
          <w:szCs w:val="21"/>
          <w:lang w:val="en-US" w:eastAsia="zh-CN" w:bidi="ar-SA"/>
        </w:rPr>
        <w:t>1</w:t>
      </w:r>
      <w:r>
        <w:rPr>
          <w:rFonts w:hint="eastAsia" w:ascii="宋体" w:hAnsi="宋体" w:cs="宋体"/>
          <w:bCs/>
          <w:kern w:val="0"/>
          <w:sz w:val="21"/>
          <w:szCs w:val="21"/>
          <w:lang w:val="en-US" w:eastAsia="zh-CN" w:bidi="ar-SA"/>
        </w:rPr>
        <w:t>8</w:t>
      </w:r>
      <w:r>
        <w:rPr>
          <w:rFonts w:hint="eastAsia" w:ascii="宋体" w:hAnsi="宋体" w:cs="宋体" w:eastAsiaTheme="minorEastAsia"/>
          <w:bCs/>
          <w:kern w:val="0"/>
          <w:sz w:val="21"/>
          <w:szCs w:val="21"/>
          <w:lang w:val="en-US" w:eastAsia="zh-CN" w:bidi="ar-SA"/>
        </w:rPr>
        <w:t>.阅读材料，完成下列要求。</w:t>
      </w: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材料一  在西方，近代城市规划是随着19世纪下半叶的工业革命而形成发展的。大工业造成了近代大城市、新城市的产生，其主流是工业城市。由于工业化进程与工业城市的出现，所带来的一系列城市社会问题，诞生了试图以改善物质环境与结构而达到改造人类社会的西方近代城市规划，这是从古典到现代的连贯发展中的一个环节，是现代城市规划学科的基础。</w:t>
      </w: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材料二  中国近代城市规划基本上不是以工业化为起点的。主要是由于外力的作用而引起的政治变革及社会发展的结果，其近代性具有不完善性。西方国家的殖民化促成了城市化，带来了新市区、大城市的产生，其主流是商业城市，并仅限于少数几个开埠城市。在近代中国城市之中常见三界四方板块划分的局面，即使同一城市的新市区规划也互不相干，无城市的整体性可言。</w:t>
      </w:r>
    </w:p>
    <w:p>
      <w:pPr>
        <w:keepNext w:val="0"/>
        <w:keepLines w:val="0"/>
        <w:pageBreakBefore w:val="0"/>
        <w:widowControl w:val="0"/>
        <w:kinsoku/>
        <w:wordWrap/>
        <w:overflowPunct/>
        <w:topLinePunct w:val="0"/>
        <w:autoSpaceDE/>
        <w:autoSpaceDN/>
        <w:bidi w:val="0"/>
        <w:spacing w:line="240" w:lineRule="auto"/>
        <w:ind w:firstLine="4200" w:firstLineChars="200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——上述材料均摘编自李百浩《中西近代城市规划比较综述》</w:t>
      </w: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（1）据材料一并结合所学知识，概括近代西方城市规划形成发展的历史条件。(8分)</w:t>
      </w:r>
    </w:p>
    <w:p>
      <w:pPr>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（2）综合上述材料并结合所学知识，指出中西方近代城市规划的不同。(8分)</w:t>
      </w:r>
    </w:p>
    <w:p>
      <w:pPr>
        <w:keepNext w:val="0"/>
        <w:keepLines w:val="0"/>
        <w:pageBreakBefore w:val="0"/>
        <w:widowControl w:val="0"/>
        <w:kinsoku/>
        <w:wordWrap/>
        <w:overflowPunct/>
        <w:topLinePunct w:val="0"/>
        <w:autoSpaceDE/>
        <w:autoSpaceDN/>
        <w:bidi w:val="0"/>
        <w:spacing w:line="240" w:lineRule="auto"/>
        <w:textAlignment w:val="center"/>
        <w:rPr>
          <w:rFonts w:hint="eastAsia" w:ascii="宋体" w:hAnsi="宋体" w:cs="宋体" w:eastAsiaTheme="minorEastAsia"/>
          <w:bCs/>
          <w:kern w:val="0"/>
          <w:sz w:val="21"/>
          <w:szCs w:val="21"/>
          <w:lang w:val="en-US" w:eastAsia="zh-CN" w:bidi="ar-SA"/>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4656"/>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A1F3B3"/>
    <w:multiLevelType w:val="singleLevel"/>
    <w:tmpl w:val="49A1F3B3"/>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65283c27-8b8f-4183-a875-1706d6a1c4b3"/>
  </w:docVars>
  <w:rsids>
    <w:rsidRoot w:val="00DD75EA"/>
    <w:rsid w:val="00000807"/>
    <w:rsid w:val="00003D0E"/>
    <w:rsid w:val="000209A9"/>
    <w:rsid w:val="000226E6"/>
    <w:rsid w:val="00023A43"/>
    <w:rsid w:val="00033B7B"/>
    <w:rsid w:val="00050707"/>
    <w:rsid w:val="00066746"/>
    <w:rsid w:val="000860EF"/>
    <w:rsid w:val="00097641"/>
    <w:rsid w:val="000C254F"/>
    <w:rsid w:val="000C2E6E"/>
    <w:rsid w:val="000C6127"/>
    <w:rsid w:val="000D5744"/>
    <w:rsid w:val="000D6171"/>
    <w:rsid w:val="001064CF"/>
    <w:rsid w:val="00111033"/>
    <w:rsid w:val="0015110A"/>
    <w:rsid w:val="001538FC"/>
    <w:rsid w:val="00162002"/>
    <w:rsid w:val="001621D9"/>
    <w:rsid w:val="001629AC"/>
    <w:rsid w:val="0016667B"/>
    <w:rsid w:val="00183599"/>
    <w:rsid w:val="0019002B"/>
    <w:rsid w:val="001A340E"/>
    <w:rsid w:val="001A664B"/>
    <w:rsid w:val="001B1D85"/>
    <w:rsid w:val="001B36B5"/>
    <w:rsid w:val="001D00D3"/>
    <w:rsid w:val="001E1F43"/>
    <w:rsid w:val="001F1409"/>
    <w:rsid w:val="001F5E08"/>
    <w:rsid w:val="00214258"/>
    <w:rsid w:val="00242786"/>
    <w:rsid w:val="002849CF"/>
    <w:rsid w:val="00287076"/>
    <w:rsid w:val="002A0EF5"/>
    <w:rsid w:val="002A3DB9"/>
    <w:rsid w:val="002A41E8"/>
    <w:rsid w:val="002B32AA"/>
    <w:rsid w:val="002C31B0"/>
    <w:rsid w:val="002C5C4F"/>
    <w:rsid w:val="002D14C2"/>
    <w:rsid w:val="002E7179"/>
    <w:rsid w:val="0032109F"/>
    <w:rsid w:val="00326658"/>
    <w:rsid w:val="00340684"/>
    <w:rsid w:val="00340DA2"/>
    <w:rsid w:val="00352F2F"/>
    <w:rsid w:val="003706BB"/>
    <w:rsid w:val="003776BA"/>
    <w:rsid w:val="00395258"/>
    <w:rsid w:val="003A0E8E"/>
    <w:rsid w:val="003A4409"/>
    <w:rsid w:val="003A785D"/>
    <w:rsid w:val="003B2AFE"/>
    <w:rsid w:val="003B522E"/>
    <w:rsid w:val="003C7C0A"/>
    <w:rsid w:val="003D5C81"/>
    <w:rsid w:val="003D6D66"/>
    <w:rsid w:val="003F6261"/>
    <w:rsid w:val="00401F80"/>
    <w:rsid w:val="0042558B"/>
    <w:rsid w:val="00433E23"/>
    <w:rsid w:val="00435DCA"/>
    <w:rsid w:val="00437E5C"/>
    <w:rsid w:val="004516A4"/>
    <w:rsid w:val="004540F9"/>
    <w:rsid w:val="00464543"/>
    <w:rsid w:val="004717E9"/>
    <w:rsid w:val="0047703A"/>
    <w:rsid w:val="004A58F3"/>
    <w:rsid w:val="004A7273"/>
    <w:rsid w:val="004D523F"/>
    <w:rsid w:val="004F0A52"/>
    <w:rsid w:val="00513E8B"/>
    <w:rsid w:val="00517B80"/>
    <w:rsid w:val="00522714"/>
    <w:rsid w:val="0052763D"/>
    <w:rsid w:val="00530155"/>
    <w:rsid w:val="005505FA"/>
    <w:rsid w:val="00561FE0"/>
    <w:rsid w:val="00575249"/>
    <w:rsid w:val="005815C3"/>
    <w:rsid w:val="00586A56"/>
    <w:rsid w:val="005B505D"/>
    <w:rsid w:val="005C3BB2"/>
    <w:rsid w:val="005F17E0"/>
    <w:rsid w:val="005F77A9"/>
    <w:rsid w:val="006263DC"/>
    <w:rsid w:val="00630A32"/>
    <w:rsid w:val="00645E9D"/>
    <w:rsid w:val="006640D4"/>
    <w:rsid w:val="00666FE1"/>
    <w:rsid w:val="006677E3"/>
    <w:rsid w:val="00672DE4"/>
    <w:rsid w:val="00674FC8"/>
    <w:rsid w:val="006765AF"/>
    <w:rsid w:val="00683C36"/>
    <w:rsid w:val="006913C3"/>
    <w:rsid w:val="006A7BFA"/>
    <w:rsid w:val="006C2AC7"/>
    <w:rsid w:val="006C45A0"/>
    <w:rsid w:val="006C7294"/>
    <w:rsid w:val="006E5801"/>
    <w:rsid w:val="006F1021"/>
    <w:rsid w:val="006F53FD"/>
    <w:rsid w:val="00722CD0"/>
    <w:rsid w:val="00732473"/>
    <w:rsid w:val="007476D2"/>
    <w:rsid w:val="0075473C"/>
    <w:rsid w:val="00762C4F"/>
    <w:rsid w:val="007806DB"/>
    <w:rsid w:val="007A6211"/>
    <w:rsid w:val="007B7DA6"/>
    <w:rsid w:val="007F502C"/>
    <w:rsid w:val="00844C6B"/>
    <w:rsid w:val="008579D1"/>
    <w:rsid w:val="00860176"/>
    <w:rsid w:val="00862FAB"/>
    <w:rsid w:val="00870AD3"/>
    <w:rsid w:val="008726F4"/>
    <w:rsid w:val="00876F2B"/>
    <w:rsid w:val="00884412"/>
    <w:rsid w:val="008949BD"/>
    <w:rsid w:val="008A2359"/>
    <w:rsid w:val="008C1E88"/>
    <w:rsid w:val="008C3960"/>
    <w:rsid w:val="008E51AA"/>
    <w:rsid w:val="008F6800"/>
    <w:rsid w:val="00940A5E"/>
    <w:rsid w:val="00971314"/>
    <w:rsid w:val="0098213D"/>
    <w:rsid w:val="00992410"/>
    <w:rsid w:val="00992B48"/>
    <w:rsid w:val="00992B92"/>
    <w:rsid w:val="00996D4E"/>
    <w:rsid w:val="009A14F5"/>
    <w:rsid w:val="009B2358"/>
    <w:rsid w:val="009B4490"/>
    <w:rsid w:val="009B7634"/>
    <w:rsid w:val="009D31FE"/>
    <w:rsid w:val="00A12869"/>
    <w:rsid w:val="00A26197"/>
    <w:rsid w:val="00A300BC"/>
    <w:rsid w:val="00A37066"/>
    <w:rsid w:val="00A5330C"/>
    <w:rsid w:val="00A6630D"/>
    <w:rsid w:val="00A86791"/>
    <w:rsid w:val="00AA3987"/>
    <w:rsid w:val="00B01A82"/>
    <w:rsid w:val="00B1659A"/>
    <w:rsid w:val="00B16FF4"/>
    <w:rsid w:val="00B448BC"/>
    <w:rsid w:val="00B450F4"/>
    <w:rsid w:val="00B52187"/>
    <w:rsid w:val="00B74B40"/>
    <w:rsid w:val="00B84CCC"/>
    <w:rsid w:val="00BA1859"/>
    <w:rsid w:val="00BC2CD5"/>
    <w:rsid w:val="00BC7A33"/>
    <w:rsid w:val="00C0231F"/>
    <w:rsid w:val="00C23725"/>
    <w:rsid w:val="00C433CF"/>
    <w:rsid w:val="00C64CDD"/>
    <w:rsid w:val="00C934CF"/>
    <w:rsid w:val="00CA35EF"/>
    <w:rsid w:val="00CA7C05"/>
    <w:rsid w:val="00CB1DFD"/>
    <w:rsid w:val="00CC022B"/>
    <w:rsid w:val="00CD4C95"/>
    <w:rsid w:val="00CD539D"/>
    <w:rsid w:val="00CE1180"/>
    <w:rsid w:val="00CE3147"/>
    <w:rsid w:val="00D06B5E"/>
    <w:rsid w:val="00D421E5"/>
    <w:rsid w:val="00D46493"/>
    <w:rsid w:val="00D53F42"/>
    <w:rsid w:val="00D619CB"/>
    <w:rsid w:val="00D65014"/>
    <w:rsid w:val="00D77CC4"/>
    <w:rsid w:val="00D95E74"/>
    <w:rsid w:val="00DA3143"/>
    <w:rsid w:val="00DA6440"/>
    <w:rsid w:val="00DA765A"/>
    <w:rsid w:val="00DD63D1"/>
    <w:rsid w:val="00DD75EA"/>
    <w:rsid w:val="00E000CE"/>
    <w:rsid w:val="00E0358E"/>
    <w:rsid w:val="00E100AC"/>
    <w:rsid w:val="00E166E4"/>
    <w:rsid w:val="00E60DBE"/>
    <w:rsid w:val="00E8387A"/>
    <w:rsid w:val="00E93028"/>
    <w:rsid w:val="00EA0724"/>
    <w:rsid w:val="00EA24C6"/>
    <w:rsid w:val="00EB2537"/>
    <w:rsid w:val="00EC40FE"/>
    <w:rsid w:val="00F03DEE"/>
    <w:rsid w:val="00F0644F"/>
    <w:rsid w:val="00F350F2"/>
    <w:rsid w:val="00F41E46"/>
    <w:rsid w:val="00F42EE8"/>
    <w:rsid w:val="00F61B4B"/>
    <w:rsid w:val="00F648BC"/>
    <w:rsid w:val="00F70228"/>
    <w:rsid w:val="00F7290A"/>
    <w:rsid w:val="00F777F9"/>
    <w:rsid w:val="00F96F7D"/>
    <w:rsid w:val="00FA33C8"/>
    <w:rsid w:val="00FA604C"/>
    <w:rsid w:val="00FC1754"/>
    <w:rsid w:val="00FC7655"/>
    <w:rsid w:val="00FD5C5D"/>
    <w:rsid w:val="00FE43DE"/>
    <w:rsid w:val="00FE4825"/>
    <w:rsid w:val="00FF3FF6"/>
    <w:rsid w:val="0116312F"/>
    <w:rsid w:val="01BF2827"/>
    <w:rsid w:val="01E70B9F"/>
    <w:rsid w:val="020A533B"/>
    <w:rsid w:val="02357803"/>
    <w:rsid w:val="03032638"/>
    <w:rsid w:val="03E372CB"/>
    <w:rsid w:val="05C33CCA"/>
    <w:rsid w:val="06AA08C2"/>
    <w:rsid w:val="06F636A4"/>
    <w:rsid w:val="07BE3D15"/>
    <w:rsid w:val="081F643A"/>
    <w:rsid w:val="094B3863"/>
    <w:rsid w:val="09BB4FB7"/>
    <w:rsid w:val="0CC02688"/>
    <w:rsid w:val="0D84493F"/>
    <w:rsid w:val="0DB24C72"/>
    <w:rsid w:val="0DD759F4"/>
    <w:rsid w:val="0EC22051"/>
    <w:rsid w:val="0F207965"/>
    <w:rsid w:val="13B80076"/>
    <w:rsid w:val="13E62E35"/>
    <w:rsid w:val="14EF06F6"/>
    <w:rsid w:val="1607540D"/>
    <w:rsid w:val="19F747BA"/>
    <w:rsid w:val="1A1A5DD2"/>
    <w:rsid w:val="1A51364F"/>
    <w:rsid w:val="1AF05866"/>
    <w:rsid w:val="1C8E248C"/>
    <w:rsid w:val="1E696309"/>
    <w:rsid w:val="1F136AA8"/>
    <w:rsid w:val="2053578C"/>
    <w:rsid w:val="21E31EE2"/>
    <w:rsid w:val="224A55CB"/>
    <w:rsid w:val="25DC5E46"/>
    <w:rsid w:val="278953A3"/>
    <w:rsid w:val="2929534F"/>
    <w:rsid w:val="2BF00744"/>
    <w:rsid w:val="2C3B7059"/>
    <w:rsid w:val="2DFB406F"/>
    <w:rsid w:val="2E450D6E"/>
    <w:rsid w:val="30F445E1"/>
    <w:rsid w:val="32062834"/>
    <w:rsid w:val="35972A85"/>
    <w:rsid w:val="35FC7E3E"/>
    <w:rsid w:val="36153997"/>
    <w:rsid w:val="36911CE7"/>
    <w:rsid w:val="37283058"/>
    <w:rsid w:val="37BF6A7B"/>
    <w:rsid w:val="381912C4"/>
    <w:rsid w:val="3AAA3936"/>
    <w:rsid w:val="3B791858"/>
    <w:rsid w:val="3C04482D"/>
    <w:rsid w:val="3C5724DC"/>
    <w:rsid w:val="3DB8735D"/>
    <w:rsid w:val="3EFB760D"/>
    <w:rsid w:val="400131E3"/>
    <w:rsid w:val="403748CC"/>
    <w:rsid w:val="41831BE9"/>
    <w:rsid w:val="44BA514C"/>
    <w:rsid w:val="45473785"/>
    <w:rsid w:val="45763769"/>
    <w:rsid w:val="45E37EBF"/>
    <w:rsid w:val="46BD28C6"/>
    <w:rsid w:val="48BF44EB"/>
    <w:rsid w:val="4B21657D"/>
    <w:rsid w:val="4B3149DB"/>
    <w:rsid w:val="4B560A3D"/>
    <w:rsid w:val="4BDF4E71"/>
    <w:rsid w:val="4C22343F"/>
    <w:rsid w:val="4C72630D"/>
    <w:rsid w:val="4C731E5C"/>
    <w:rsid w:val="4D804B86"/>
    <w:rsid w:val="508036FB"/>
    <w:rsid w:val="50834975"/>
    <w:rsid w:val="509413EB"/>
    <w:rsid w:val="50F3182D"/>
    <w:rsid w:val="5233759F"/>
    <w:rsid w:val="523D01FF"/>
    <w:rsid w:val="531A47AB"/>
    <w:rsid w:val="53562642"/>
    <w:rsid w:val="57F2715C"/>
    <w:rsid w:val="584C23CD"/>
    <w:rsid w:val="5AAF7AC9"/>
    <w:rsid w:val="5C911059"/>
    <w:rsid w:val="5CCE63AA"/>
    <w:rsid w:val="5D396778"/>
    <w:rsid w:val="5DAB25D9"/>
    <w:rsid w:val="6004268F"/>
    <w:rsid w:val="603B2849"/>
    <w:rsid w:val="63D6054F"/>
    <w:rsid w:val="65425FF6"/>
    <w:rsid w:val="660C0899"/>
    <w:rsid w:val="663C1D0B"/>
    <w:rsid w:val="68E2489D"/>
    <w:rsid w:val="692E3F76"/>
    <w:rsid w:val="69881695"/>
    <w:rsid w:val="6A3521BF"/>
    <w:rsid w:val="6A3D40D1"/>
    <w:rsid w:val="6B291B28"/>
    <w:rsid w:val="6BF20B4C"/>
    <w:rsid w:val="6E761971"/>
    <w:rsid w:val="6F3A7F32"/>
    <w:rsid w:val="6F971D37"/>
    <w:rsid w:val="6FC01CEA"/>
    <w:rsid w:val="71127B9B"/>
    <w:rsid w:val="72CF7BE5"/>
    <w:rsid w:val="73272CFD"/>
    <w:rsid w:val="736E3CDB"/>
    <w:rsid w:val="7377799E"/>
    <w:rsid w:val="750C7A09"/>
    <w:rsid w:val="777C16D9"/>
    <w:rsid w:val="7A3031E0"/>
    <w:rsid w:val="7C875015"/>
    <w:rsid w:val="7D8E7126"/>
    <w:rsid w:val="7E2A4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4">
    <w:name w:val="Plain Text"/>
    <w:basedOn w:val="1"/>
    <w:link w:val="15"/>
    <w:unhideWhenUsed/>
    <w:qFormat/>
    <w:uiPriority w:val="99"/>
    <w:rPr>
      <w:rFonts w:ascii="宋体" w:hAnsi="Courier New" w:eastAsia="宋体"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eastAsia="黑体" w:cs="Times New Roman"/>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纯文本 Char"/>
    <w:basedOn w:val="11"/>
    <w:link w:val="4"/>
    <w:qFormat/>
    <w:uiPriority w:val="99"/>
    <w:rPr>
      <w:rFonts w:ascii="宋体" w:hAnsi="Courier New" w:eastAsia="宋体" w:cs="Courier New"/>
      <w:szCs w:val="21"/>
    </w:rPr>
  </w:style>
  <w:style w:type="character" w:customStyle="1" w:styleId="16">
    <w:name w:val="正文文本 Char"/>
    <w:basedOn w:val="11"/>
    <w:link w:val="3"/>
    <w:qFormat/>
    <w:uiPriority w:val="99"/>
    <w:rPr>
      <w:rFonts w:ascii="微软雅黑" w:hAnsi="微软雅黑" w:eastAsia="微软雅黑"/>
      <w:kern w:val="0"/>
      <w:sz w:val="22"/>
      <w:lang w:eastAsia="en-US"/>
    </w:rPr>
  </w:style>
  <w:style w:type="character" w:customStyle="1" w:styleId="17">
    <w:name w:val="批注框文本 Char"/>
    <w:basedOn w:val="11"/>
    <w:link w:val="5"/>
    <w:semiHidden/>
    <w:qFormat/>
    <w:uiPriority w:val="99"/>
    <w:rPr>
      <w:sz w:val="18"/>
      <w:szCs w:val="18"/>
    </w:rPr>
  </w:style>
  <w:style w:type="paragraph" w:customStyle="1" w:styleId="18">
    <w:name w:val="试卷-单选题-试题-题目"/>
    <w:basedOn w:val="1"/>
    <w:qFormat/>
    <w:uiPriority w:val="0"/>
    <w:pPr>
      <w:spacing w:line="360" w:lineRule="auto"/>
      <w:jc w:val="left"/>
    </w:pPr>
    <w:rPr>
      <w:rFonts w:ascii="Times New Roman" w:hAnsi="Times New Roman" w:eastAsia="宋体" w:cs="Times New Roman"/>
      <w:szCs w:val="20"/>
    </w:rPr>
  </w:style>
  <w:style w:type="paragraph" w:customStyle="1" w:styleId="19">
    <w:name w:val="试卷-单选题-试题-答案"/>
    <w:basedOn w:val="1"/>
    <w:qFormat/>
    <w:uiPriority w:val="0"/>
    <w:pPr>
      <w:spacing w:line="360" w:lineRule="auto"/>
    </w:pPr>
    <w:rPr>
      <w:rFonts w:ascii="Times New Roman" w:hAnsi="Times New Roman" w:eastAsia="宋体" w:cs="Times New Roman"/>
      <w:szCs w:val="20"/>
    </w:rPr>
  </w:style>
  <w:style w:type="paragraph" w:customStyle="1" w:styleId="20">
    <w:name w:val="试题-答案-普通"/>
    <w:basedOn w:val="1"/>
    <w:qFormat/>
    <w:uiPriority w:val="0"/>
    <w:pPr>
      <w:spacing w:line="360" w:lineRule="auto"/>
      <w:jc w:val="left"/>
    </w:pPr>
    <w:rPr>
      <w:rFonts w:ascii="Times New Roman" w:hAnsi="Times New Roman" w:eastAsia="宋体" w:cs="Times New Roman"/>
      <w:szCs w:val="20"/>
    </w:rPr>
  </w:style>
  <w:style w:type="paragraph" w:customStyle="1" w:styleId="21">
    <w:name w:val="题干"/>
    <w:basedOn w:val="1"/>
    <w:qFormat/>
    <w:uiPriority w:val="0"/>
    <w:pPr>
      <w:widowControl/>
      <w:tabs>
        <w:tab w:val="left" w:pos="2100"/>
      </w:tabs>
      <w:spacing w:line="360" w:lineRule="auto"/>
      <w:ind w:left="150" w:hanging="150" w:hangingChars="150"/>
      <w:jc w:val="left"/>
      <w:textAlignment w:val="center"/>
    </w:pPr>
    <w:rPr>
      <w:rFonts w:ascii="宋体" w:hAnsi="宋体" w:eastAsia="宋体" w:cs="Times New Roman"/>
      <w:kern w:val="0"/>
      <w:sz w:val="20"/>
      <w:szCs w:val="21"/>
    </w:rPr>
  </w:style>
  <w:style w:type="paragraph" w:styleId="22">
    <w:name w:val="List Paragraph"/>
    <w:basedOn w:val="1"/>
    <w:qFormat/>
    <w:uiPriority w:val="34"/>
    <w:pPr>
      <w:ind w:firstLine="420" w:firstLineChars="200"/>
    </w:pPr>
  </w:style>
  <w:style w:type="character" w:customStyle="1" w:styleId="23">
    <w:name w:val="标题 3 Char"/>
    <w:basedOn w:val="11"/>
    <w:link w:val="2"/>
    <w:semiHidden/>
    <w:qFormat/>
    <w:uiPriority w:val="9"/>
    <w:rPr>
      <w:b/>
      <w:bCs/>
      <w:sz w:val="32"/>
      <w:szCs w:val="32"/>
    </w:rPr>
  </w:style>
  <w:style w:type="paragraph" w:customStyle="1" w:styleId="24">
    <w:name w:val="试卷-材料题-试题-标题"/>
    <w:basedOn w:val="1"/>
    <w:qFormat/>
    <w:uiPriority w:val="0"/>
    <w:pPr>
      <w:jc w:val="left"/>
    </w:pPr>
    <w:rPr>
      <w:rFonts w:ascii="宋体" w:hAnsi="宋体"/>
    </w:rPr>
  </w:style>
  <w:style w:type="paragraph" w:customStyle="1" w:styleId="25">
    <w:name w:val="试卷-材料题-试题-材料-标题"/>
    <w:basedOn w:val="1"/>
    <w:qFormat/>
    <w:uiPriority w:val="0"/>
    <w:pPr>
      <w:ind w:firstLine="4830" w:firstLineChars="2300"/>
      <w:jc w:val="left"/>
    </w:pPr>
    <w:rPr>
      <w:rFonts w:ascii="楷体" w:hAnsi="楷体" w:eastAsia="楷体"/>
    </w:rPr>
  </w:style>
  <w:style w:type="paragraph" w:customStyle="1" w:styleId="26">
    <w:name w:val="试卷-材料题-试题-材料-正文"/>
    <w:basedOn w:val="1"/>
    <w:qFormat/>
    <w:uiPriority w:val="0"/>
    <w:pPr>
      <w:spacing w:line="360" w:lineRule="auto"/>
      <w:ind w:firstLine="420" w:firstLineChars="200"/>
    </w:pPr>
    <w:rPr>
      <w:rFonts w:eastAsia="KaiTi_GB2312"/>
    </w:rPr>
  </w:style>
  <w:style w:type="paragraph" w:customStyle="1" w:styleId="27">
    <w:name w:val="试卷-材料题-试题-材料-引自"/>
    <w:basedOn w:val="1"/>
    <w:qFormat/>
    <w:uiPriority w:val="0"/>
    <w:pPr>
      <w:spacing w:line="360" w:lineRule="auto"/>
      <w:ind w:left="420" w:leftChars="200"/>
      <w:jc w:val="right"/>
    </w:pPr>
    <w:rPr>
      <w:rFonts w:eastAsia="楷体_GB2312"/>
    </w:rPr>
  </w:style>
  <w:style w:type="paragraph" w:customStyle="1" w:styleId="28">
    <w:name w:val="试卷-材料题-试题-题目"/>
    <w:basedOn w:val="1"/>
    <w:qFormat/>
    <w:uiPriority w:val="0"/>
    <w:pPr>
      <w:spacing w:line="360" w:lineRule="auto"/>
      <w:ind w:firstLine="420" w:firstLineChars="200"/>
    </w:pPr>
  </w:style>
  <w:style w:type="paragraph" w:customStyle="1" w:styleId="29">
    <w:name w:val="试题-答案-普通1"/>
    <w:basedOn w:val="1"/>
    <w:qFormat/>
    <w:uiPriority w:val="0"/>
    <w:pPr>
      <w:spacing w:line="360" w:lineRule="auto"/>
      <w:jc w:val="left"/>
    </w:pPr>
  </w:style>
  <w:style w:type="paragraph" w:customStyle="1" w:styleId="30">
    <w:name w:val="试卷-题型-标题"/>
    <w:basedOn w:val="1"/>
    <w:qFormat/>
    <w:uiPriority w:val="0"/>
    <w:pPr>
      <w:spacing w:line="360" w:lineRule="auto"/>
    </w:pPr>
    <w:rPr>
      <w:rFonts w:ascii="Times New Roman" w:hAnsi="黑体" w:eastAsia="黑体" w:cs="Times New Roman"/>
      <w:b/>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3527</Words>
  <Characters>3688</Characters>
  <Lines>33</Lines>
  <Paragraphs>9</Paragraphs>
  <TotalTime>1</TotalTime>
  <ScaleCrop>false</ScaleCrop>
  <LinksUpToDate>false</LinksUpToDate>
  <CharactersWithSpaces>4481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2023-08-10T02:30:00Z</dcterms:created>
  <dc:creator>user</dc:creator>
  <cp:lastModifiedBy>YZZX</cp:lastModifiedBy>
  <dcterms:modified xsi:type="dcterms:W3CDTF">2025-03-26T08:20:55Z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967666550F254B9CB7FB56607FB040AD</vt:lpwstr>
  </property>
</Properties>
</file>