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仿宋"/>
          <w:b/>
          <w:bCs/>
          <w:color w:val="000000" w:themeColor="text1"/>
          <w:sz w:val="30"/>
          <w:szCs w:val="30"/>
          <w:lang w:val="en-US" w:eastAsia="zh-CN"/>
        </w:rPr>
      </w:pPr>
      <w:r>
        <w:rPr>
          <w:rFonts w:hint="eastAsia" w:ascii="黑体" w:hAnsi="黑体" w:eastAsia="黑体" w:cs="黑体"/>
          <w:b/>
          <w:color w:val="000000" w:themeColor="text1"/>
          <w:sz w:val="30"/>
          <w:szCs w:val="30"/>
        </w:rPr>
        <w:t>江苏省仪征中学202</w:t>
      </w:r>
      <w:r>
        <w:rPr>
          <w:rFonts w:hint="eastAsia" w:ascii="黑体" w:hAnsi="黑体" w:eastAsia="黑体" w:cs="黑体"/>
          <w:b/>
          <w:color w:val="000000" w:themeColor="text1"/>
          <w:sz w:val="30"/>
          <w:szCs w:val="30"/>
          <w:lang w:val="en-US" w:eastAsia="zh-CN"/>
        </w:rPr>
        <w:t>4</w:t>
      </w:r>
      <w:r>
        <w:rPr>
          <w:rFonts w:hint="eastAsia" w:ascii="黑体" w:hAnsi="黑体" w:eastAsia="黑体" w:cs="黑体"/>
          <w:b/>
          <w:color w:val="000000" w:themeColor="text1"/>
          <w:sz w:val="30"/>
          <w:szCs w:val="30"/>
        </w:rPr>
        <w:t>-202</w:t>
      </w:r>
      <w:r>
        <w:rPr>
          <w:rFonts w:hint="eastAsia" w:ascii="黑体" w:hAnsi="黑体" w:eastAsia="黑体" w:cs="黑体"/>
          <w:b/>
          <w:color w:val="000000" w:themeColor="text1"/>
          <w:sz w:val="30"/>
          <w:szCs w:val="30"/>
          <w:lang w:val="en-US" w:eastAsia="zh-CN"/>
        </w:rPr>
        <w:t>5</w:t>
      </w:r>
      <w:r>
        <w:rPr>
          <w:rFonts w:hint="eastAsia" w:ascii="黑体" w:hAnsi="黑体" w:eastAsia="黑体" w:cs="黑体"/>
          <w:b/>
          <w:color w:val="000000" w:themeColor="text1"/>
          <w:sz w:val="30"/>
          <w:szCs w:val="30"/>
        </w:rPr>
        <w:t>学年度第</w:t>
      </w:r>
      <w:r>
        <w:rPr>
          <w:rFonts w:hint="eastAsia" w:ascii="黑体" w:hAnsi="黑体" w:eastAsia="黑体" w:cs="黑体"/>
          <w:b/>
          <w:color w:val="000000" w:themeColor="text1"/>
          <w:sz w:val="30"/>
          <w:szCs w:val="30"/>
          <w:lang w:val="en-US" w:eastAsia="zh-CN"/>
        </w:rPr>
        <w:t>二</w:t>
      </w:r>
      <w:r>
        <w:rPr>
          <w:rFonts w:hint="eastAsia" w:ascii="黑体" w:hAnsi="黑体" w:eastAsia="黑体" w:cs="黑体"/>
          <w:b/>
          <w:color w:val="000000" w:themeColor="text1"/>
          <w:sz w:val="30"/>
          <w:szCs w:val="30"/>
        </w:rPr>
        <w:t>学期高</w:t>
      </w:r>
      <w:r>
        <w:rPr>
          <w:rFonts w:hint="eastAsia" w:ascii="黑体" w:hAnsi="黑体" w:eastAsia="黑体" w:cs="黑体"/>
          <w:b/>
          <w:color w:val="000000" w:themeColor="text1"/>
          <w:sz w:val="30"/>
          <w:szCs w:val="30"/>
          <w:lang w:val="en-US" w:eastAsia="zh-CN"/>
        </w:rPr>
        <w:t>三</w:t>
      </w:r>
      <w:r>
        <w:rPr>
          <w:rFonts w:hint="eastAsia" w:ascii="黑体" w:hAnsi="黑体" w:eastAsia="黑体" w:cs="黑体"/>
          <w:b/>
          <w:color w:val="000000" w:themeColor="text1"/>
          <w:sz w:val="30"/>
          <w:szCs w:val="30"/>
        </w:rPr>
        <w:t>生物学科</w:t>
      </w:r>
      <w:r>
        <w:rPr>
          <w:rFonts w:hint="eastAsia" w:ascii="黑体" w:hAnsi="黑体" w:eastAsia="黑体" w:cs="黑体"/>
          <w:b/>
          <w:color w:val="000000" w:themeColor="text1"/>
          <w:sz w:val="30"/>
          <w:szCs w:val="30"/>
          <w:lang w:eastAsia="zh-CN"/>
        </w:rPr>
        <w:t>提升性练习</w:t>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楷体" w:hAnsi="楷体" w:eastAsia="楷体" w:cs="楷体"/>
          <w:bCs/>
          <w:color w:val="000000" w:themeColor="text1"/>
          <w:sz w:val="24"/>
          <w:szCs w:val="24"/>
          <w:lang w:val="en-US" w:eastAsia="zh-CN"/>
        </w:rPr>
      </w:pPr>
      <w:r>
        <w:rPr>
          <w:rFonts w:hint="eastAsia" w:ascii="楷体" w:hAnsi="楷体" w:eastAsia="楷体" w:cs="楷体"/>
          <w:bCs/>
          <w:color w:val="000000" w:themeColor="text1"/>
          <w:sz w:val="24"/>
          <w:szCs w:val="24"/>
        </w:rPr>
        <w:t xml:space="preserve">研制人： </w:t>
      </w:r>
      <w:r>
        <w:rPr>
          <w:rFonts w:hint="eastAsia" w:ascii="楷体" w:hAnsi="楷体" w:eastAsia="楷体" w:cs="楷体"/>
          <w:bCs/>
          <w:color w:val="000000" w:themeColor="text1"/>
          <w:sz w:val="24"/>
          <w:szCs w:val="24"/>
          <w:lang w:val="en-US" w:eastAsia="zh-CN"/>
        </w:rPr>
        <w:t>康建莉</w:t>
      </w:r>
      <w:r>
        <w:rPr>
          <w:rFonts w:hint="eastAsia" w:ascii="楷体" w:hAnsi="楷体" w:eastAsia="楷体" w:cs="楷体"/>
          <w:bCs/>
          <w:color w:val="000000" w:themeColor="text1"/>
          <w:sz w:val="24"/>
          <w:szCs w:val="24"/>
        </w:rPr>
        <w:t xml:space="preserve">   审核人：</w:t>
      </w:r>
      <w:r>
        <w:rPr>
          <w:rFonts w:hint="eastAsia" w:ascii="楷体" w:hAnsi="楷体" w:eastAsia="楷体" w:cs="楷体"/>
          <w:bCs/>
          <w:color w:val="000000" w:themeColor="text1"/>
          <w:sz w:val="24"/>
          <w:szCs w:val="24"/>
          <w:lang w:val="en-US" w:eastAsia="zh-CN"/>
        </w:rPr>
        <w:t>苏楠楠</w:t>
      </w:r>
    </w:p>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default" w:ascii="宋体" w:hAnsi="宋体" w:eastAsia="楷体" w:cs="宋体"/>
          <w:color w:val="000000" w:themeColor="text1"/>
          <w:sz w:val="24"/>
          <w:szCs w:val="24"/>
          <w:u w:val="single"/>
          <w:lang w:val="en-US" w:eastAsia="zh-CN"/>
        </w:rPr>
      </w:pPr>
      <w:r>
        <w:rPr>
          <w:rFonts w:hint="eastAsia" w:ascii="楷体" w:hAnsi="楷体" w:eastAsia="楷体" w:cs="楷体"/>
          <w:bCs/>
          <w:color w:val="000000" w:themeColor="text1"/>
          <w:sz w:val="24"/>
          <w:szCs w:val="24"/>
        </w:rPr>
        <w:t>班级：_________姓名：_________学号：______</w:t>
      </w:r>
      <w:r>
        <w:rPr>
          <w:rFonts w:hint="eastAsia" w:ascii="楷体" w:hAnsi="楷体" w:eastAsia="楷体" w:cs="楷体"/>
          <w:bCs/>
          <w:color w:val="000000" w:themeColor="text1"/>
          <w:sz w:val="24"/>
          <w:szCs w:val="24"/>
          <w:lang w:eastAsia="zh-CN"/>
        </w:rPr>
        <w:t>时间：</w:t>
      </w:r>
      <w:r>
        <w:rPr>
          <w:rFonts w:hint="eastAsia" w:ascii="楷体" w:hAnsi="楷体" w:eastAsia="楷体" w:cs="楷体"/>
          <w:bCs/>
          <w:color w:val="000000" w:themeColor="text1"/>
          <w:sz w:val="24"/>
          <w:szCs w:val="24"/>
          <w:u w:val="single"/>
          <w:lang w:val="en-US" w:eastAsia="zh-CN"/>
        </w:rPr>
        <w:t>2025年4</w:t>
      </w:r>
      <w:r>
        <w:rPr>
          <w:rFonts w:hint="eastAsia" w:ascii="楷体" w:hAnsi="楷体" w:eastAsia="楷体" w:cs="楷体"/>
          <w:bCs/>
          <w:color w:val="000000" w:themeColor="text1"/>
          <w:sz w:val="24"/>
          <w:szCs w:val="24"/>
          <w:u w:val="single"/>
        </w:rPr>
        <w:t>月</w:t>
      </w:r>
      <w:r>
        <w:rPr>
          <w:rFonts w:hint="eastAsia" w:ascii="楷体" w:hAnsi="楷体" w:eastAsia="楷体" w:cs="楷体"/>
          <w:bCs/>
          <w:color w:val="000000" w:themeColor="text1"/>
          <w:sz w:val="24"/>
          <w:szCs w:val="24"/>
          <w:u w:val="single"/>
          <w:lang w:val="en-US" w:eastAsia="zh-CN"/>
        </w:rPr>
        <w:t>21</w:t>
      </w:r>
      <w:r>
        <w:rPr>
          <w:rFonts w:hint="eastAsia" w:ascii="楷体" w:hAnsi="楷体" w:eastAsia="楷体" w:cs="楷体"/>
          <w:bCs/>
          <w:color w:val="000000" w:themeColor="text1"/>
          <w:sz w:val="24"/>
          <w:szCs w:val="24"/>
          <w:u w:val="single"/>
        </w:rPr>
        <w:t>日</w:t>
      </w:r>
      <w:r>
        <w:rPr>
          <w:rFonts w:hint="eastAsia" w:ascii="楷体" w:hAnsi="楷体" w:eastAsia="楷体" w:cs="楷体"/>
          <w:bCs/>
          <w:color w:val="000000" w:themeColor="text1"/>
          <w:sz w:val="24"/>
          <w:szCs w:val="24"/>
          <w:lang w:val="en-US" w:eastAsia="zh-CN"/>
        </w:rPr>
        <w:t>作业时长：</w:t>
      </w:r>
      <w:r>
        <w:rPr>
          <w:rFonts w:hint="eastAsia" w:ascii="楷体" w:hAnsi="楷体" w:eastAsia="楷体" w:cs="楷体"/>
          <w:bCs/>
          <w:color w:val="000000" w:themeColor="text1"/>
          <w:sz w:val="24"/>
          <w:szCs w:val="24"/>
          <w:u w:val="single"/>
          <w:lang w:val="en-US" w:eastAsia="zh-CN"/>
        </w:rPr>
        <w:t>40分钟</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jc w:val="left"/>
        <w:rPr>
          <w:rFonts w:hint="eastAsia" w:ascii="宋体" w:hAnsi="宋体" w:eastAsia="宋体" w:cs="宋体"/>
          <w:b/>
          <w:color w:val="auto"/>
          <w:sz w:val="21"/>
          <w:szCs w:val="21"/>
        </w:rPr>
      </w:pPr>
      <w:r>
        <w:rPr>
          <w:rFonts w:hint="eastAsia" w:ascii="宋体" w:hAnsi="宋体" w:eastAsia="宋体" w:cs="宋体"/>
          <w:b/>
          <w:color w:val="auto"/>
          <w:sz w:val="21"/>
          <w:szCs w:val="21"/>
          <w:lang w:val="en-US" w:eastAsia="zh-CN"/>
        </w:rPr>
        <w:t>单项</w:t>
      </w:r>
      <w:r>
        <w:rPr>
          <w:rFonts w:hint="eastAsia" w:ascii="宋体" w:hAnsi="宋体" w:eastAsia="宋体" w:cs="宋体"/>
          <w:b/>
          <w:color w:val="auto"/>
          <w:sz w:val="21"/>
          <w:szCs w:val="21"/>
        </w:rPr>
        <w:t>选择题</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left"/>
        <w:rPr>
          <w:rFonts w:hint="eastAsia" w:ascii="宋体" w:hAnsi="宋体" w:eastAsia="宋体" w:cs="宋体"/>
          <w:sz w:val="21"/>
          <w:szCs w:val="21"/>
        </w:rPr>
      </w:pPr>
      <w:r>
        <w:rPr>
          <w:rFonts w:hint="eastAsia" w:ascii="宋体" w:hAnsi="宋体" w:eastAsia="宋体" w:cs="宋体"/>
          <w:color w:val="auto"/>
          <w:sz w:val="21"/>
          <w:szCs w:val="21"/>
        </w:rPr>
        <w:t>1. 玉米营养丰富，是常见的粮食作物。下列叙述错误的是（　　）</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sz w:val="21"/>
          <w:szCs w:val="21"/>
        </w:rPr>
        <w:t xml:space="preserve">A. </w:t>
      </w:r>
      <w:r>
        <w:rPr>
          <w:rFonts w:hint="eastAsia" w:ascii="宋体" w:hAnsi="宋体" w:eastAsia="宋体" w:cs="宋体"/>
          <w:color w:val="auto"/>
          <w:sz w:val="21"/>
          <w:szCs w:val="21"/>
        </w:rPr>
        <w:t>玉米在生长过程中缺乏P，植株矮小，叶呈暗绿偏紫色</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sz w:val="21"/>
          <w:szCs w:val="21"/>
        </w:rPr>
        <w:t xml:space="preserve">B. </w:t>
      </w:r>
      <w:r>
        <w:rPr>
          <w:rFonts w:hint="eastAsia" w:ascii="宋体" w:hAnsi="宋体" w:eastAsia="宋体" w:cs="宋体"/>
          <w:color w:val="auto"/>
          <w:sz w:val="21"/>
          <w:szCs w:val="21"/>
        </w:rPr>
        <w:t>玉米茎秆富含纤维素，不溶于水，很难被动物消化</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sz w:val="21"/>
          <w:szCs w:val="21"/>
        </w:rPr>
        <w:t xml:space="preserve">C. </w:t>
      </w:r>
      <w:r>
        <w:rPr>
          <w:rFonts w:hint="eastAsia" w:ascii="宋体" w:hAnsi="宋体" w:eastAsia="宋体" w:cs="宋体"/>
          <w:color w:val="auto"/>
          <w:sz w:val="21"/>
          <w:szCs w:val="21"/>
        </w:rPr>
        <w:t>玉米胚芽油富含不饱和脂肪酸，熔点高不易凝固</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sz w:val="21"/>
          <w:szCs w:val="21"/>
        </w:rPr>
        <w:t xml:space="preserve">D. </w:t>
      </w:r>
      <w:r>
        <w:rPr>
          <w:rFonts w:hint="eastAsia" w:ascii="宋体" w:hAnsi="宋体" w:eastAsia="宋体" w:cs="宋体"/>
          <w:color w:val="auto"/>
          <w:sz w:val="21"/>
          <w:szCs w:val="21"/>
        </w:rPr>
        <w:t>晒干的玉米种子自由水含量低，代谢被抑制，便于储藏</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2. 图为植物的胞间连丝结构示意图，相关叙述正确的是（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drawing>
          <wp:inline distT="0" distB="0" distL="114300" distR="114300">
            <wp:extent cx="1365885" cy="809625"/>
            <wp:effectExtent l="0" t="0" r="571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5"/>
                    <a:stretch>
                      <a:fillRect/>
                    </a:stretch>
                  </pic:blipFill>
                  <pic:spPr>
                    <a:xfrm>
                      <a:off x="0" y="0"/>
                      <a:ext cx="1365885" cy="8096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细胞壁是系统的边界，其形成与高尔基体有关</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B. 细胞膜主要由脂质和蛋白质组成，具有一定的流动性</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内质网参与形成胞间连丝，植物病毒不能通过胞间连丝</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D. 由蛋白质、纤维素构成的细胞骨架也参与形成胞间连丝</w:t>
      </w:r>
    </w:p>
    <w:p>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3. 部分厌氧菌缺乏处理氧自由基的酶，可进行不产氧光合作用，避免产生的氧自由基对自身造成伤害。如图表示绿硫细菌的光反应过程示意图，下列叙述正确的是（    ）</w:t>
      </w:r>
    </w:p>
    <w:p>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drawing>
          <wp:inline distT="0" distB="0" distL="114300" distR="114300">
            <wp:extent cx="2038350" cy="1036320"/>
            <wp:effectExtent l="0" t="0" r="0" b="1143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6"/>
                    <a:stretch>
                      <a:fillRect/>
                    </a:stretch>
                  </pic:blipFill>
                  <pic:spPr>
                    <a:xfrm>
                      <a:off x="0" y="0"/>
                      <a:ext cx="2038350" cy="1036320"/>
                    </a:xfrm>
                    <a:prstGeom prst="rect">
                      <a:avLst/>
                    </a:prstGeom>
                  </pic:spPr>
                </pic:pic>
              </a:graphicData>
            </a:graphic>
          </wp:inline>
        </w:drawing>
      </w:r>
      <w:r>
        <w:rPr>
          <w:rFonts w:hint="eastAsia" w:ascii="宋体" w:hAnsi="宋体" w:eastAsia="宋体" w:cs="宋体"/>
          <w:color w:val="000000"/>
          <w:sz w:val="21"/>
          <w:szCs w:val="21"/>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绿硫细菌在光反应中，H₂S是电子供体</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B. 叶绿体中的菌绿素复合体，用于吸收、传递、转化光能</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绿硫细菌产生的高能e⁻长期储存在 NADPH中</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D. H⁺进入内腔需要的能量直接来自 H₂S分解时产生的能量</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4. 图示染色体的端粒断裂后，姐妹染色单体会在断裂处发生融合，且融合的染色体在细胞分裂后期由于纺锤丝的牵引，可在两个着丝粒之间的任何一处发生随机断裂。下列相关叙述正确的是（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drawing>
          <wp:inline distT="0" distB="0" distL="114300" distR="114300">
            <wp:extent cx="3448050" cy="775970"/>
            <wp:effectExtent l="0" t="0" r="0" b="508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3448050" cy="7759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图①-⑤过程只能发生在细胞有丝分裂过程中</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B. 图⑤后形成的子细胞可同时含有基因D和d</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图③④过程中染色体和DNA的数量都加倍</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D. 图①染色体上的D和d一定是基因重组产生</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5. 下列有关实验的描述正确的是（    ）</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赫尔希和蔡斯利用放射性同位素标记法和离心法证明DNA是主要的遗传物质</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B. 克里克以T4噬菌体为实验材料，对某个基因的碱基对进行增加或减少处理从而确定了遗传密码阅读方式为非重叠式阅读</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摩尔根通过果蝇眼色杂交实验提出并验证了基因位于染色体上</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D. 提取细胞中的DNA和制备动物细胞膜时应分别选择猪血和鸡血为实验材料</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6. cAMP（环化—磷酸腺苷）是细胞内的一种信号分子。肾上腺髓质分泌肾上腺素参与血糖调节，调节过程如图所示。下列叙述正确的是（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drawing>
          <wp:inline distT="0" distB="0" distL="114300" distR="114300">
            <wp:extent cx="2695575" cy="1291590"/>
            <wp:effectExtent l="0" t="0" r="9525" b="381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2695575" cy="12915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腺嘌呤脱氧核糖核苷酸发生环化后形成cAMP</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B. 肾上腺素和胰岛素的分泌都受交感神经支配</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B、C、D三处的血糖浓度关系为最可能为C&lt;B&lt;D</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D. 活化状态的酶P为肝糖原的水解提供活化能</w:t>
      </w:r>
    </w:p>
    <w:p>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7. 乙酰转移酶能和mRNA结合，促使mRNA 乙酰化修饰的发生，从而提高翻译效率和 mRNA的稳定性。相关叙述错误的是（    ）</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乙酰转移酶与原癌基因的 mRNA 结合可能会促进细胞癌变</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B. 乙酰化修饰的mRNA 不易和RNA 酶结合，从而不易被降解</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mRNA 乙酰化修饰会改变蛋白质结构和生物性状，属于表观遗传</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D. 翻译时密码子与反密码子的碱基之间通过氢键结合</w:t>
      </w:r>
    </w:p>
    <w:p>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8. 脑源性神经营养因子（BDNF）是由两条肽链构成的蛋白质，能够促进和维持中枢神经系统正常的生长发育。若BDNF基因表达受阻，则会导致精神异常。图示为BDNF基因的表达及调控过程，下列有关叙述正确的是（    ）</w:t>
      </w:r>
    </w:p>
    <w:p>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drawing>
          <wp:inline distT="0" distB="0" distL="114300" distR="114300">
            <wp:extent cx="2819400" cy="926465"/>
            <wp:effectExtent l="0" t="0" r="0" b="698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2819400" cy="9264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图中miRNA－195基因是具有遗传效应的RNA片段</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B. 同一个体不同组织细胞的同一条染色体DNA进行甲过程时，发挥作用的启动子不完全相同</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图中A侧为mRNA的5'端，多个核糖体结合在同一mRNA上，有利于提高翻译效率</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D. 若miRNA－195基因的一条链中（A＋G）/（T＋C）为1.25，则miRNA－195中（U＋C）/（A＋G）为0.8</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9. 尿酸是含氮有机物，在汗液中极少，主要通过肾脏和小肠排出。尿酸的溶解度相对较低，高尿酸血症是导致痛风的主要原因。下列有关叙述</w:t>
      </w:r>
      <w:r>
        <w:rPr>
          <w:rFonts w:hint="eastAsia" w:ascii="宋体" w:hAnsi="宋体" w:eastAsia="宋体" w:cs="宋体"/>
          <w:color w:val="000000"/>
          <w:sz w:val="21"/>
          <w:szCs w:val="21"/>
          <w:em w:val="dot"/>
        </w:rPr>
        <w:t>错误</w:t>
      </w:r>
      <w:r>
        <w:rPr>
          <w:rFonts w:hint="eastAsia" w:ascii="宋体" w:hAnsi="宋体" w:eastAsia="宋体" w:cs="宋体"/>
          <w:color w:val="000000"/>
          <w:sz w:val="21"/>
          <w:szCs w:val="21"/>
        </w:rPr>
        <w:t>的是（    ）</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血浆中尿酸参与内环境中渗透压的调节</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B. 尿酸主要由肝脏的中葡萄糖分解产生</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痛风患者要适当减少高嘌呤食物的摄入</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D. 大量出汗可导致血浆中尿酸浓度升高</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10. 原核生物环状DNA的复制有多种类型，图示θ型复制过程。DNA聚合酶Ⅰ从片段1的5′端移除RNA引物，然后将脱氧核苷酸逐个添加到片段2的3′端。下列相关叙述正确的是（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drawing>
          <wp:inline distT="0" distB="0" distL="114300" distR="114300">
            <wp:extent cx="1905635" cy="721360"/>
            <wp:effectExtent l="0" t="0" r="18415" b="254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1905635" cy="7213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DNA双链解旋时氢键断裂，该过程不消耗能量</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B. 该DNA分子在复制前后的端粒数量分别为2个、4个</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新合成的两条子链分别由5′→3′和3′→5′的方向延伸</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D. DNA聚合酶Ⅰ既能催化DNA子链延伸，又有核酸外切酶的活性</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11. 下列有关神经系统的叙述错误的是（    ）</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缺少条件刺激条件反射会消退，此过程需要大脑皮层参与</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B. 自主神经属于外周神经系统，包括交感神经和副交感神经</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深呼吸能体现了神经系统的分级调节</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D. 手的运动受大脑皮层中央前回下部的调控</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12. 白癜风是一种常见的色素性皮肤病，该病以局部或泛发性色素脱失形成白斑为特征，全身各部位均可发生。研究发现部分患者的发病机制如图所示，下列叙述错误的是（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drawing>
          <wp:inline distT="0" distB="0" distL="114300" distR="114300">
            <wp:extent cx="2450465" cy="1087120"/>
            <wp:effectExtent l="0" t="0" r="6985" b="1778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2450465" cy="10871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X可能为自由基</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B. T细胞分化产生的Th17细胞可以增强调节性T细胞对细胞毒性T细胞的抑制作用</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图中有两个激活细胞毒性T细胞的途径</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D. 细胞毒性T细胞攻击黑色素细胞，导致黑色素减少，皮肤出现白斑</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13. 下列关于植物激素或植物生长调节剂的叙述，错误的是（　　）</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棉花生长早期喷洒生长素类似物可促进顶端优势，增加棉花产量</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B. 脱落酸功能障碍的植物突变体的种子会在果实未采收时提前发芽</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用赤霉素的拮抗剂—矮壮素处理小麦后，植株矮小、节间短</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D. 过量使用西瓜膨大剂，其残留部分不会造成青少年发育过快</w:t>
      </w:r>
    </w:p>
    <w:p>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14. 种群调节是指种群数量恢复到平均密度的趋向，下列关于种群调节的叙述不正确的是（    ）</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种群调节时，数量波动到最大值，对种群的发展可能是不利的</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B. 捕食属于种群调节的密度制约因素，与非密度制约因素息息相关</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随着种群密度的增加，密度制约效应使种群的出生率降低，死亡率增加</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D. 通过种群调节可实现种群内部生态位的分化，以充分利用资源</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15. 某酿酒厂以无核黄皮果为辅料研制出黄皮甜米酒，该酒具有消食、润肺和清热解毒等功效。制作黄皮甜米酒</w:t>
      </w:r>
      <w:r>
        <w:rPr>
          <w:rFonts w:hint="eastAsia" w:ascii="宋体" w:hAnsi="宋体" w:eastAsia="宋体" w:cs="宋体"/>
          <w:color w:val="000000"/>
          <w:position w:val="0"/>
          <w:sz w:val="21"/>
          <w:szCs w:val="21"/>
        </w:rPr>
        <w:drawing>
          <wp:inline distT="0" distB="0" distL="114300" distR="114300">
            <wp:extent cx="133350" cy="177800"/>
            <wp:effectExtent l="0" t="0" r="0" b="13335"/>
            <wp:docPr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hint="eastAsia" w:ascii="宋体" w:hAnsi="宋体" w:eastAsia="宋体" w:cs="宋体"/>
          <w:color w:val="000000"/>
          <w:sz w:val="21"/>
          <w:szCs w:val="21"/>
        </w:rPr>
        <w:t>工艺流程如下图所示。下列叙述正确的是（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drawing>
          <wp:inline distT="0" distB="0" distL="114300" distR="114300">
            <wp:extent cx="5238750" cy="728345"/>
            <wp:effectExtent l="0" t="0" r="0" b="1460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5238750" cy="728674"/>
                    </a:xfrm>
                    <a:prstGeom prst="rect">
                      <a:avLst/>
                    </a:prstGeom>
                  </pic:spPr>
                </pic:pic>
              </a:graphicData>
            </a:graphic>
          </wp:inline>
        </w:drawing>
      </w:r>
      <w:r>
        <w:rPr>
          <w:rFonts w:hint="eastAsia" w:ascii="宋体" w:hAnsi="宋体" w:eastAsia="宋体" w:cs="宋体"/>
          <w:color w:val="000000"/>
          <w:sz w:val="21"/>
          <w:szCs w:val="21"/>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对糯米进行蒸煮可利用高温杀死杂菌，并有利于细胞破裂释放糖类用于发酵</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B. 甜酒曲中的根霉能产生糖化酶，将淀粉依次水解为蔗糖、葡萄糖</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酵母菌的繁殖在主发酵阶段完成，代谢物的生成在后发酵阶段完成</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D. 黄皮甜米酒口感好、酒精度低，适宜长期大量饮用</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二、多</w:t>
      </w:r>
      <w:r>
        <w:rPr>
          <w:rFonts w:hint="eastAsia" w:ascii="宋体" w:hAnsi="宋体" w:eastAsia="宋体" w:cs="宋体"/>
          <w:b/>
          <w:color w:val="000000"/>
          <w:sz w:val="21"/>
          <w:szCs w:val="21"/>
          <w:lang w:val="en-US" w:eastAsia="zh-CN"/>
        </w:rPr>
        <w:t>项</w:t>
      </w:r>
      <w:r>
        <w:rPr>
          <w:rFonts w:hint="eastAsia" w:ascii="宋体" w:hAnsi="宋体" w:eastAsia="宋体" w:cs="宋体"/>
          <w:b/>
          <w:color w:val="000000"/>
          <w:sz w:val="21"/>
          <w:szCs w:val="21"/>
        </w:rPr>
        <w:t>选</w:t>
      </w:r>
      <w:r>
        <w:rPr>
          <w:rFonts w:hint="eastAsia" w:ascii="宋体" w:hAnsi="宋体" w:eastAsia="宋体" w:cs="宋体"/>
          <w:b/>
          <w:color w:val="000000"/>
          <w:sz w:val="21"/>
          <w:szCs w:val="21"/>
          <w:lang w:val="en-US" w:eastAsia="zh-CN"/>
        </w:rPr>
        <w:t>择</w:t>
      </w:r>
      <w:r>
        <w:rPr>
          <w:rFonts w:hint="eastAsia" w:ascii="宋体" w:hAnsi="宋体" w:eastAsia="宋体" w:cs="宋体"/>
          <w:b/>
          <w:color w:val="000000"/>
          <w:sz w:val="21"/>
          <w:szCs w:val="21"/>
        </w:rPr>
        <w:t>题</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16. 蛋白质糖基化普遍存在于真核细胞中，具有重要的功能。特定的抗生素可阻断蛋白质的糖基化，导致多肽滞留在内质网中；糖基化的蛋白质对蛋白酶有更强的抗性。下列相关推测合理的是（    ）</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糖基化不会影响蛋白质的空间结构</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B. 蛋白质的糖基化是在内质网中完成的</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合适</w:t>
      </w:r>
      <w:r>
        <w:rPr>
          <w:rFonts w:hint="eastAsia" w:ascii="宋体" w:hAnsi="宋体" w:eastAsia="宋体" w:cs="宋体"/>
          <w:color w:val="000000"/>
          <w:position w:val="0"/>
          <w:sz w:val="21"/>
          <w:szCs w:val="21"/>
        </w:rPr>
        <w:drawing>
          <wp:inline distT="0" distB="0" distL="114300" distR="114300">
            <wp:extent cx="133350" cy="177800"/>
            <wp:effectExtent l="0" t="0" r="0" b="13335"/>
            <wp:docPr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hint="eastAsia" w:ascii="宋体" w:hAnsi="宋体" w:eastAsia="宋体" w:cs="宋体"/>
          <w:color w:val="000000"/>
          <w:sz w:val="21"/>
          <w:szCs w:val="21"/>
        </w:rPr>
        <w:t>糖基化可提高治疗性蛋白质的疗效</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D. 溶酶体膜中的蛋白质多数进行了糖基化修饰</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17. 下图为动物细胞培养过程中，细胞数量的指数变化示意图。下列叙述不正确的是（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drawing>
          <wp:inline distT="0" distB="0" distL="114300" distR="114300">
            <wp:extent cx="1811020" cy="1644650"/>
            <wp:effectExtent l="0" t="0" r="17780" b="1270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1811020" cy="1644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细胞传代过程中通常需要用胰蛋白酶处理</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B. 无限细胞系可作为生产新冠疫苗的宿主细胞</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原代培养过程中，细胞不会发生基因突变</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D. 细胞分裂10次以上时，大部分细胞老化、死亡</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18. 普通小麦起源于一粒小麦、山羊草和节节麦在自然条件下的远缘杂交。其过程如图所示，图中A、B、D分别表示三个不同物种的染色体组，每个染色体组均是7条染色体。下列叙述错误的是（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drawing>
          <wp:inline distT="0" distB="0" distL="114300" distR="114300">
            <wp:extent cx="1409700" cy="1318895"/>
            <wp:effectExtent l="0" t="0" r="0" b="1460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1409700" cy="13188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杂种一的染色体组成是AB，因体细胞中没有同源染色体，所以高度不育</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B. 过程①可用秋水仙素处理，抑制着丝粒分裂，使细胞中的染色体数加倍</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杂种二的正常体细胞中含21条染色体，减数分裂Ⅰ前期最多可形成10个四分体</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D. 普通小麦属于六倍体，每6条染色体相互联会，形成配子时易发生联会紊乱</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19. 坐骨神经包含多条神经纤维，当多条神经纤维同时兴奋时，电位可以叠加。取坐骨神经—腓肠肌标本，将电位表的两个电极置于坐骨神经表面Ⅱ、Ⅲ两处，如图1。在坐骨神经Ⅰ处，给一个适当强度的电刺激，指针偏转情况如图2。下列叙述正确的是（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drawing>
          <wp:inline distT="0" distB="0" distL="114300" distR="114300">
            <wp:extent cx="3838575" cy="948055"/>
            <wp:effectExtent l="0" t="0" r="9525" b="444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3838575" cy="9480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兴奋在坐骨神经与腓肠肌之间只能单向传递</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B. h</w:t>
      </w:r>
      <w:r>
        <w:rPr>
          <w:rFonts w:hint="eastAsia" w:ascii="宋体" w:hAnsi="宋体" w:eastAsia="宋体" w:cs="宋体"/>
          <w:color w:val="000000"/>
          <w:sz w:val="21"/>
          <w:szCs w:val="21"/>
          <w:vertAlign w:val="subscript"/>
        </w:rPr>
        <w:t>1</w:t>
      </w:r>
      <w:r>
        <w:rPr>
          <w:rFonts w:hint="eastAsia" w:ascii="宋体" w:hAnsi="宋体" w:eastAsia="宋体" w:cs="宋体"/>
          <w:color w:val="000000"/>
          <w:sz w:val="21"/>
          <w:szCs w:val="21"/>
        </w:rPr>
        <w:t>和h</w:t>
      </w:r>
      <w:r>
        <w:rPr>
          <w:rFonts w:hint="eastAsia" w:ascii="宋体" w:hAnsi="宋体" w:eastAsia="宋体" w:cs="宋体"/>
          <w:color w:val="000000"/>
          <w:sz w:val="21"/>
          <w:szCs w:val="21"/>
          <w:vertAlign w:val="subscript"/>
        </w:rPr>
        <w:t>2</w:t>
      </w:r>
      <w:r>
        <w:rPr>
          <w:rFonts w:hint="eastAsia" w:ascii="宋体" w:hAnsi="宋体" w:eastAsia="宋体" w:cs="宋体"/>
          <w:color w:val="000000"/>
          <w:sz w:val="21"/>
          <w:szCs w:val="21"/>
        </w:rPr>
        <w:t>的不同与Ⅱ处和Ⅲ处同时兴奋的神经纤维数量有关</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t</w:t>
      </w:r>
      <w:r>
        <w:rPr>
          <w:rFonts w:hint="eastAsia" w:ascii="宋体" w:hAnsi="宋体" w:eastAsia="宋体" w:cs="宋体"/>
          <w:color w:val="000000"/>
          <w:sz w:val="21"/>
          <w:szCs w:val="21"/>
          <w:vertAlign w:val="subscript"/>
        </w:rPr>
        <w:t>1</w:t>
      </w:r>
      <w:r>
        <w:rPr>
          <w:rFonts w:hint="eastAsia" w:ascii="宋体" w:hAnsi="宋体" w:eastAsia="宋体" w:cs="宋体"/>
          <w:color w:val="000000"/>
          <w:sz w:val="21"/>
          <w:szCs w:val="21"/>
        </w:rPr>
        <w:t>与t</w:t>
      </w:r>
      <w:r>
        <w:rPr>
          <w:rFonts w:hint="eastAsia" w:ascii="宋体" w:hAnsi="宋体" w:eastAsia="宋体" w:cs="宋体"/>
          <w:color w:val="000000"/>
          <w:sz w:val="21"/>
          <w:szCs w:val="21"/>
          <w:vertAlign w:val="subscript"/>
        </w:rPr>
        <w:t>3</w:t>
      </w:r>
      <w:r>
        <w:rPr>
          <w:rFonts w:hint="eastAsia" w:ascii="宋体" w:hAnsi="宋体" w:eastAsia="宋体" w:cs="宋体"/>
          <w:color w:val="000000"/>
          <w:sz w:val="21"/>
          <w:szCs w:val="21"/>
        </w:rPr>
        <w:t>的差异可能与兴奋在不同神经纤维的传导速度不同有关</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D. 若在Ⅰ处施加不同强度的电刺激，所得到的h</w:t>
      </w:r>
      <w:r>
        <w:rPr>
          <w:rFonts w:hint="eastAsia" w:ascii="宋体" w:hAnsi="宋体" w:eastAsia="宋体" w:cs="宋体"/>
          <w:color w:val="000000"/>
          <w:sz w:val="21"/>
          <w:szCs w:val="21"/>
          <w:vertAlign w:val="subscript"/>
        </w:rPr>
        <w:t>1</w:t>
      </w:r>
      <w:r>
        <w:rPr>
          <w:rFonts w:hint="eastAsia" w:ascii="宋体" w:hAnsi="宋体" w:eastAsia="宋体" w:cs="宋体"/>
          <w:color w:val="000000"/>
          <w:sz w:val="21"/>
          <w:szCs w:val="21"/>
        </w:rPr>
        <w:t>也不相同</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b/>
          <w:color w:val="000000"/>
          <w:sz w:val="21"/>
          <w:szCs w:val="21"/>
        </w:rPr>
        <w:t>三、非选择题：本大题共：5小题，共58分。</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r>
        <w:rPr>
          <w:rFonts w:hint="eastAsia" w:ascii="宋体" w:hAnsi="宋体" w:eastAsia="宋体" w:cs="宋体"/>
          <w:color w:val="000000"/>
          <w:sz w:val="21"/>
          <w:szCs w:val="21"/>
          <w:lang w:val="en-US" w:eastAsia="zh-CN"/>
        </w:rPr>
        <w:t>0</w:t>
      </w:r>
      <w:r>
        <w:rPr>
          <w:rFonts w:hint="eastAsia" w:ascii="宋体" w:hAnsi="宋体" w:eastAsia="宋体" w:cs="宋体"/>
          <w:color w:val="000000"/>
          <w:sz w:val="21"/>
          <w:szCs w:val="21"/>
        </w:rPr>
        <w:t>. 醛固酮（ALD）是重要的盐皮质激素，具有维持细胞外液渗透压相对稳定的作用。由肝细胞合成分泌、胆囊储存释放的胆汁属于消化液，其分泌与释放的调节方式如下图。请分析回答：</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drawing>
          <wp:inline distT="0" distB="0" distL="114300" distR="114300">
            <wp:extent cx="4343400" cy="113093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4343400" cy="1130935"/>
                    </a:xfrm>
                    <a:prstGeom prst="rect">
                      <a:avLst/>
                    </a:prstGeom>
                  </pic:spPr>
                </pic:pic>
              </a:graphicData>
            </a:graphic>
          </wp:inline>
        </w:drawing>
      </w:r>
      <w:r>
        <w:rPr>
          <w:rFonts w:hint="eastAsia" w:ascii="宋体" w:hAnsi="宋体" w:eastAsia="宋体" w:cs="宋体"/>
          <w:color w:val="000000"/>
          <w:sz w:val="21"/>
          <w:szCs w:val="21"/>
        </w:rPr>
        <w:t xml:space="preserve">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（1）图中所示的调节过程中，肝细胞分泌胆汁的调节属于_____调节。图中Ach是由迷走神经节后纤维末梢通过______方式释放的一种小分子化合物，其作用于肝细胞，说明肝细胞表面有_____。</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2）机体血浆中大多数蛋白质由肝细胞合成。肝细胞合成功能发生障碍时可导致组织液_____（填“增多”或“减少”）。临床上可用药物A竞争性结合醛固酮受体增加尿量，以达到治疗效果。醛固酮在细胞中合成的场所是________，其受体通常位于_____（填“细胞膜上”或“细胞内”）。从水盐调节角度分析，该治疗方法使组织液的量恢复正常的机制为：药物A竞争性结合醛固酮受体，_____（填“增加”或“减少”）肾小管和集合管对_____的重吸收，从而增加尿量，使组织液的量恢复正常。</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3）醛固酮会引起心肌纤维化（MF），为探究氧化苦参碱（OMT）对醛固酮（ALD）诱导的大鼠心肌纤维化的作用，某研究小组选取40只生理状态一直的健康雄鼠并将其随机均分为4组，每天进行相关处理。连续4周。相关处理和实验结果如下表所示，请补充完整。</w:t>
      </w:r>
    </w:p>
    <w:tbl>
      <w:tblPr>
        <w:tblStyle w:val="13"/>
        <w:tblW w:w="7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06"/>
        <w:gridCol w:w="1428"/>
        <w:gridCol w:w="1849"/>
        <w:gridCol w:w="1698"/>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组别</w:t>
            </w:r>
          </w:p>
        </w:tc>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对照组</w:t>
            </w:r>
          </w:p>
        </w:tc>
        <w:tc>
          <w:tcPr>
            <w:tcW w:w="18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模型组</w:t>
            </w:r>
          </w:p>
        </w:tc>
        <w:tc>
          <w:tcPr>
            <w:tcW w:w="1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低剂量OMT组（25mg/kg）</w:t>
            </w:r>
          </w:p>
        </w:tc>
        <w:tc>
          <w:tcPr>
            <w:tcW w:w="1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高剂量OMT组（50mg/kg）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处理方案</w:t>
            </w:r>
          </w:p>
        </w:tc>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不作处理</w:t>
            </w:r>
          </w:p>
        </w:tc>
        <w:tc>
          <w:tcPr>
            <w:tcW w:w="18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皮下注射含适量ALD的生理盐水，高钠盐饮水</w:t>
            </w:r>
          </w:p>
        </w:tc>
        <w:tc>
          <w:tcPr>
            <w:tcW w:w="1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①____</w:t>
            </w:r>
          </w:p>
        </w:tc>
        <w:tc>
          <w:tcPr>
            <w:tcW w:w="1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同①，剂量不同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实验结果</w:t>
            </w:r>
          </w:p>
        </w:tc>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②____</w:t>
            </w:r>
          </w:p>
        </w:tc>
        <w:tc>
          <w:tcPr>
            <w:tcW w:w="18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心肌纤维排列紊乱，溶解坏死</w:t>
            </w:r>
          </w:p>
        </w:tc>
        <w:tc>
          <w:tcPr>
            <w:tcW w:w="1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症状减轻</w:t>
            </w:r>
          </w:p>
        </w:tc>
        <w:tc>
          <w:tcPr>
            <w:tcW w:w="1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症状略微减轻</w:t>
            </w:r>
          </w:p>
        </w:tc>
      </w:tr>
    </w:tbl>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该研究小组继续对4周时大鼠心肌细胞中的信号蛋白（Jagged-1和Notch-1）的表达水平进行了检测，结果如下图：</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drawing>
          <wp:inline distT="0" distB="0" distL="114300" distR="114300">
            <wp:extent cx="3542030" cy="1616075"/>
            <wp:effectExtent l="0" t="0" r="1270" b="317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3542030" cy="1616075"/>
                    </a:xfrm>
                    <a:prstGeom prst="rect">
                      <a:avLst/>
                    </a:prstGeom>
                  </pic:spPr>
                </pic:pic>
              </a:graphicData>
            </a:graphic>
          </wp:inline>
        </w:drawing>
      </w:r>
      <w:r>
        <w:rPr>
          <w:rFonts w:hint="eastAsia" w:ascii="宋体" w:hAnsi="宋体" w:eastAsia="宋体" w:cs="宋体"/>
          <w:color w:val="000000"/>
          <w:sz w:val="21"/>
          <w:szCs w:val="21"/>
        </w:rPr>
        <w:t xml:space="preserve">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据图推测，OMT缓解心肌纤维化的机理可能与③_____有关。</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 果蝇是遗传学研究中常用的材料。摩尔根和他的学生绘制出了果蝇部分基因在Ⅱ号染色体上的相对位置，如下图所示。请回答下列问题：</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drawing>
          <wp:inline distT="0" distB="0" distL="114300" distR="114300">
            <wp:extent cx="2650490" cy="1110615"/>
            <wp:effectExtent l="0" t="0" r="16510" b="1333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2650490" cy="1110615"/>
                    </a:xfrm>
                    <a:prstGeom prst="rect">
                      <a:avLst/>
                    </a:prstGeom>
                  </pic:spPr>
                </pic:pic>
              </a:graphicData>
            </a:graphic>
          </wp:inline>
        </w:drawing>
      </w:r>
      <w:bookmarkStart w:id="0" w:name="_GoBack"/>
      <w:bookmarkEnd w:id="0"/>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（1）据图分析摩尔根选择果蝇作为遗传实验材料的原因是___。</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2）长翅（A）对残翅（a）为显性，位于Ⅱ号染色体上。杂合长翅果蝇相互交配所得子代中长翅与残翅之比约等于15:1。研究发现该结果是雄果蝇产生的某种配子致死所致，则致死配子的基因型是___，其致死率为___。</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3）野生型翅脉对网状翅脉为显性，受一对等位基因控制。网状翅脉果蝇与纯合野生型翅脉果蝇杂交，正反交结果都是野生型翅脉。据此推测该对基因位于___上。将正反交所得所有子代雌雄果蝇相互交配，所得后代的基因型有___种。</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（4）科研人员将D基因插入雄果蝇的一条Ⅲ号染色体上，将G基因（绿色荧光蛋白基因）插入到雌果蝇的一条X染色体上。同时含有D基因和G基因时，果蝇表现为绿翅，否则为无色翅。将上述雌雄果蝇杂交得F</w:t>
      </w:r>
      <w:r>
        <w:rPr>
          <w:rFonts w:hint="eastAsia" w:ascii="宋体" w:hAnsi="宋体" w:eastAsia="宋体" w:cs="宋体"/>
          <w:color w:val="000000"/>
          <w:sz w:val="21"/>
          <w:szCs w:val="21"/>
          <w:vertAlign w:val="subscript"/>
        </w:rPr>
        <w:t>1</w:t>
      </w:r>
      <w:r>
        <w:rPr>
          <w:rFonts w:hint="eastAsia" w:ascii="宋体" w:hAnsi="宋体" w:eastAsia="宋体" w:cs="宋体"/>
          <w:color w:val="000000"/>
          <w:sz w:val="21"/>
          <w:szCs w:val="21"/>
        </w:rPr>
        <w:t>，F</w:t>
      </w:r>
      <w:r>
        <w:rPr>
          <w:rFonts w:hint="eastAsia" w:ascii="宋体" w:hAnsi="宋体" w:eastAsia="宋体" w:cs="宋体"/>
          <w:color w:val="000000"/>
          <w:sz w:val="21"/>
          <w:szCs w:val="21"/>
          <w:vertAlign w:val="subscript"/>
        </w:rPr>
        <w:t>1</w:t>
      </w:r>
      <w:r>
        <w:rPr>
          <w:rFonts w:hint="eastAsia" w:ascii="宋体" w:hAnsi="宋体" w:eastAsia="宋体" w:cs="宋体"/>
          <w:color w:val="000000"/>
          <w:sz w:val="21"/>
          <w:szCs w:val="21"/>
        </w:rPr>
        <w:t>中绿翅：无色翅为___。取F</w:t>
      </w:r>
      <w:r>
        <w:rPr>
          <w:rFonts w:hint="eastAsia" w:ascii="宋体" w:hAnsi="宋体" w:eastAsia="宋体" w:cs="宋体"/>
          <w:color w:val="000000"/>
          <w:sz w:val="21"/>
          <w:szCs w:val="21"/>
          <w:vertAlign w:val="subscript"/>
        </w:rPr>
        <w:t>1</w:t>
      </w:r>
      <w:r>
        <w:rPr>
          <w:rFonts w:hint="eastAsia" w:ascii="宋体" w:hAnsi="宋体" w:eastAsia="宋体" w:cs="宋体"/>
          <w:color w:val="000000"/>
          <w:sz w:val="21"/>
          <w:szCs w:val="21"/>
        </w:rPr>
        <w:t>中绿翅雌雄果蝇随机交配得F</w:t>
      </w:r>
      <w:r>
        <w:rPr>
          <w:rFonts w:hint="eastAsia" w:ascii="宋体" w:hAnsi="宋体" w:eastAsia="宋体" w:cs="宋体"/>
          <w:color w:val="000000"/>
          <w:sz w:val="21"/>
          <w:szCs w:val="21"/>
          <w:vertAlign w:val="subscript"/>
        </w:rPr>
        <w:t>2</w:t>
      </w:r>
      <w:r>
        <w:rPr>
          <w:rFonts w:hint="eastAsia" w:ascii="宋体" w:hAnsi="宋体" w:eastAsia="宋体" w:cs="宋体"/>
          <w:color w:val="000000"/>
          <w:sz w:val="21"/>
          <w:szCs w:val="21"/>
        </w:rPr>
        <w:t>，F</w:t>
      </w:r>
      <w:r>
        <w:rPr>
          <w:rFonts w:hint="eastAsia" w:ascii="宋体" w:hAnsi="宋体" w:eastAsia="宋体" w:cs="宋体"/>
          <w:color w:val="000000"/>
          <w:sz w:val="21"/>
          <w:szCs w:val="21"/>
          <w:vertAlign w:val="subscript"/>
        </w:rPr>
        <w:t>2</w:t>
      </w:r>
      <w:r>
        <w:rPr>
          <w:rFonts w:hint="eastAsia" w:ascii="宋体" w:hAnsi="宋体" w:eastAsia="宋体" w:cs="宋体"/>
          <w:color w:val="000000"/>
          <w:sz w:val="21"/>
          <w:szCs w:val="21"/>
        </w:rPr>
        <w:t>中无色翅雄果蝇占___。若将G基因插入到Ⅱ号染色体上，同样做上述杂交实验，发现F</w:t>
      </w:r>
      <w:r>
        <w:rPr>
          <w:rFonts w:hint="eastAsia" w:ascii="宋体" w:hAnsi="宋体" w:eastAsia="宋体" w:cs="宋体"/>
          <w:color w:val="000000"/>
          <w:sz w:val="21"/>
          <w:szCs w:val="21"/>
          <w:vertAlign w:val="subscript"/>
        </w:rPr>
        <w:t>2</w:t>
      </w:r>
      <w:r>
        <w:rPr>
          <w:rFonts w:hint="eastAsia" w:ascii="宋体" w:hAnsi="宋体" w:eastAsia="宋体" w:cs="宋体"/>
          <w:color w:val="000000"/>
          <w:sz w:val="21"/>
          <w:szCs w:val="21"/>
        </w:rPr>
        <w:t>中绿翅：无色翅为9:7，将F</w:t>
      </w:r>
      <w:r>
        <w:rPr>
          <w:rFonts w:hint="eastAsia" w:ascii="宋体" w:hAnsi="宋体" w:eastAsia="宋体" w:cs="宋体"/>
          <w:color w:val="000000"/>
          <w:sz w:val="21"/>
          <w:szCs w:val="21"/>
          <w:vertAlign w:val="subscript"/>
        </w:rPr>
        <w:t>2</w:t>
      </w:r>
      <w:r>
        <w:rPr>
          <w:rFonts w:hint="eastAsia" w:ascii="宋体" w:hAnsi="宋体" w:eastAsia="宋体" w:cs="宋体"/>
          <w:color w:val="000000"/>
          <w:sz w:val="21"/>
          <w:szCs w:val="21"/>
        </w:rPr>
        <w:t>中的绿翅果蝇相互交配，共有___种交配方式会导致后代出现性状分离。</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 科研人员利用图1所示材料构建重组质粒并导入大肠杆菌，以期获得能监测生物组织或环境中四环素水平的“报警器”。限制酶识别序列及切割位点如下表。TetR基因是一种转录调节基因，GFp基因为绿色荧光蛋白基因，Amp</w:t>
      </w:r>
      <w:r>
        <w:rPr>
          <w:rFonts w:hint="eastAsia" w:ascii="宋体" w:hAnsi="宋体" w:eastAsia="宋体" w:cs="宋体"/>
          <w:color w:val="000000"/>
          <w:sz w:val="21"/>
          <w:szCs w:val="21"/>
          <w:vertAlign w:val="superscript"/>
        </w:rPr>
        <w:t>r</w:t>
      </w:r>
      <w:r>
        <w:rPr>
          <w:rFonts w:hint="eastAsia" w:ascii="宋体" w:hAnsi="宋体" w:eastAsia="宋体" w:cs="宋体"/>
          <w:color w:val="000000"/>
          <w:sz w:val="21"/>
          <w:szCs w:val="21"/>
        </w:rPr>
        <w:t>为氨苄青霉素抗性基因，ori为复制原点。请回答下列问题：</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drawing>
          <wp:inline distT="0" distB="0" distL="114300" distR="114300">
            <wp:extent cx="3476625" cy="1510665"/>
            <wp:effectExtent l="0" t="0" r="9525" b="1333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3476625" cy="1510665"/>
                    </a:xfrm>
                    <a:prstGeom prst="rect">
                      <a:avLst/>
                    </a:prstGeom>
                  </pic:spPr>
                </pic:pic>
              </a:graphicData>
            </a:graphic>
          </wp:inline>
        </w:drawing>
      </w:r>
    </w:p>
    <w:tbl>
      <w:tblPr>
        <w:tblStyle w:val="13"/>
        <w:tblW w:w="8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15"/>
        <w:gridCol w:w="1620"/>
        <w:gridCol w:w="1650"/>
        <w:gridCol w:w="1800"/>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限制酶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EcoRⅠ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XbaⅠ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SpeⅠ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BamHⅠ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识别序列及切割位点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drawing>
                <wp:inline distT="0" distB="0" distL="114300" distR="114300">
                  <wp:extent cx="876300" cy="3429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876300" cy="342900"/>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drawing>
                <wp:inline distT="0" distB="0" distL="114300" distR="114300">
                  <wp:extent cx="885825" cy="323850"/>
                  <wp:effectExtent l="0" t="0" r="9525"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885825" cy="323850"/>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drawing>
                <wp:inline distT="0" distB="0" distL="114300" distR="114300">
                  <wp:extent cx="990600" cy="34290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990600" cy="342900"/>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drawing>
                <wp:inline distT="0" distB="0" distL="114300" distR="114300">
                  <wp:extent cx="933450" cy="352425"/>
                  <wp:effectExtent l="0" t="0" r="0" b="9525"/>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933450" cy="352425"/>
                          </a:xfrm>
                          <a:prstGeom prst="rect">
                            <a:avLst/>
                          </a:prstGeom>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（1）使用工具酶拼接DNA片段1和2，拼接后的片段连接处部分序列为5＇_____3＇（写出6个碱基），TetR基因和GFP基因转录的模板链_____（“是”或“不是”）该拼接DNM的同一条链。</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（2）构建重组质粒时，选择_____对质粒和拼接的DNA片段进行酶切，在DNA连接酶的作用下恢复_____键。再根据_____的结果判断重组质粒的大小是否符合预期。</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（3）将重组质粒导入经_____理的大肠杆菌后，在含_____的固体培养基中筛选出工程菌。</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（4）工程菌监测四环素的原理如图2，当环境中含四环素时，该大肠杆菌工程菌_____（能/不能）发出荧光，其原因是_____。</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drawing>
          <wp:inline distT="0" distB="0" distL="114300" distR="114300">
            <wp:extent cx="3877310" cy="1045210"/>
            <wp:effectExtent l="0" t="0" r="8890" b="254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3877310" cy="1045210"/>
                    </a:xfrm>
                    <a:prstGeom prst="rect">
                      <a:avLst/>
                    </a:prstGeom>
                  </pic:spPr>
                </pic:pic>
              </a:graphicData>
            </a:graphic>
          </wp:inline>
        </w:drawing>
      </w:r>
    </w:p>
    <w:p>
      <w:pPr>
        <w:pStyle w:val="10"/>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sz w:val="21"/>
          <w:szCs w:val="21"/>
        </w:rPr>
      </w:pPr>
    </w:p>
    <w:sectPr>
      <w:footerReference r:id="rId3" w:type="default"/>
      <w:pgSz w:w="11906" w:h="16838"/>
      <w:pgMar w:top="1134" w:right="1134" w:bottom="1134" w:left="113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MS Mincho">
    <w:altName w:val="Yu Gothic UI"/>
    <w:panose1 w:val="02020609040205080304"/>
    <w:charset w:val="80"/>
    <w:family w:val="modern"/>
    <w:pitch w:val="default"/>
    <w:sig w:usb0="00000000" w:usb1="00000000" w:usb2="00000010"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Q6KUMgBAACZ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Jl&#10;lqcPUGPWQ8C8NNz5AZdm9gM6M+tBRZu/yIdgHMU9X8WVQyIiP1qv1usKQwJj8wXx2ePzECG9ld6S&#10;bDQ04vSKqPz0HtKYOqfkas7fa2PKBI37y4GY2cNy72OP2UrDfpgI7X17Rj49Dr6hDvecEvPOoa55&#10;R2YjzsZ+No4h6kNXlijXg3B7TNhE6S1XGGGnwjixwm7arrwSf95L1uMftf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EOilDIAQAAmQMAAA4AAAAAAAAAAQAgAAAAHgEAAGRycy9lMm9Eb2Mu&#10;eG1sUEsFBgAAAAAGAAYAWQEAAFgFA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6DF14E"/>
    <w:multiLevelType w:val="singleLevel"/>
    <w:tmpl w:val="0F6DF14E"/>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FiMjI4NjA5Y2RkMTBmMzdjZmU4Nzc5M2ZmNzk1MmIifQ=="/>
    <w:docVar w:name="KSO_WPS_MARK_KEY" w:val="e415e2d5-8db0-40b8-885d-0bf563cfcd2d"/>
  </w:docVars>
  <w:rsids>
    <w:rsidRoot w:val="00086DD1"/>
    <w:rsid w:val="00086DD1"/>
    <w:rsid w:val="00987509"/>
    <w:rsid w:val="00A82A37"/>
    <w:rsid w:val="00C67FB5"/>
    <w:rsid w:val="07D02A58"/>
    <w:rsid w:val="105D5F16"/>
    <w:rsid w:val="2061162D"/>
    <w:rsid w:val="29CD6F0B"/>
    <w:rsid w:val="45936C02"/>
    <w:rsid w:val="466B3354"/>
    <w:rsid w:val="595A0601"/>
    <w:rsid w:val="63093C33"/>
    <w:rsid w:val="692B4C31"/>
    <w:rsid w:val="722D2A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2"/>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3"/>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24"/>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25"/>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0">
    <w:name w:val="Plain Text"/>
    <w:basedOn w:val="1"/>
    <w:link w:val="15"/>
    <w:unhideWhenUsed/>
    <w:qFormat/>
    <w:uiPriority w:val="99"/>
    <w:rPr>
      <w:rFonts w:ascii="宋体" w:hAnsi="Courier New" w:eastAsia="宋体" w:cs="Courier New"/>
      <w:szCs w:val="21"/>
    </w:rPr>
  </w:style>
  <w:style w:type="paragraph" w:styleId="11">
    <w:name w:val="footer"/>
    <w:basedOn w:val="1"/>
    <w:link w:val="17"/>
    <w:semiHidden/>
    <w:unhideWhenUsed/>
    <w:qFormat/>
    <w:uiPriority w:val="99"/>
    <w:pPr>
      <w:tabs>
        <w:tab w:val="center" w:pos="4153"/>
        <w:tab w:val="right" w:pos="8306"/>
      </w:tabs>
      <w:snapToGrid w:val="0"/>
      <w:jc w:val="left"/>
    </w:pPr>
    <w:rPr>
      <w:sz w:val="18"/>
      <w:szCs w:val="18"/>
    </w:rPr>
  </w:style>
  <w:style w:type="paragraph" w:styleId="12">
    <w:name w:val="header"/>
    <w:basedOn w:val="1"/>
    <w:link w:val="16"/>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5">
    <w:name w:val="纯文本 Char"/>
    <w:basedOn w:val="14"/>
    <w:link w:val="10"/>
    <w:qFormat/>
    <w:uiPriority w:val="99"/>
    <w:rPr>
      <w:rFonts w:ascii="宋体" w:hAnsi="Courier New" w:eastAsia="宋体" w:cs="Courier New"/>
      <w:szCs w:val="21"/>
    </w:rPr>
  </w:style>
  <w:style w:type="character" w:customStyle="1" w:styleId="16">
    <w:name w:val="页眉 Char"/>
    <w:basedOn w:val="14"/>
    <w:link w:val="12"/>
    <w:semiHidden/>
    <w:qFormat/>
    <w:uiPriority w:val="99"/>
    <w:rPr>
      <w:sz w:val="18"/>
      <w:szCs w:val="18"/>
    </w:rPr>
  </w:style>
  <w:style w:type="character" w:customStyle="1" w:styleId="17">
    <w:name w:val="页脚 Char"/>
    <w:basedOn w:val="14"/>
    <w:link w:val="11"/>
    <w:semiHidden/>
    <w:qFormat/>
    <w:uiPriority w:val="99"/>
    <w:rPr>
      <w:sz w:val="18"/>
      <w:szCs w:val="18"/>
    </w:rPr>
  </w:style>
  <w:style w:type="character" w:customStyle="1" w:styleId="18">
    <w:name w:val="标题 1 Char"/>
    <w:basedOn w:val="14"/>
    <w:link w:val="2"/>
    <w:qFormat/>
    <w:uiPriority w:val="9"/>
    <w:rPr>
      <w:b/>
      <w:bCs/>
      <w:kern w:val="44"/>
      <w:sz w:val="44"/>
      <w:szCs w:val="44"/>
    </w:rPr>
  </w:style>
  <w:style w:type="character" w:customStyle="1" w:styleId="19">
    <w:name w:val="标题 2 Char"/>
    <w:basedOn w:val="14"/>
    <w:link w:val="3"/>
    <w:semiHidden/>
    <w:qFormat/>
    <w:uiPriority w:val="9"/>
    <w:rPr>
      <w:rFonts w:asciiTheme="majorHAnsi" w:hAnsiTheme="majorHAnsi" w:eastAsiaTheme="majorEastAsia" w:cstheme="majorBidi"/>
      <w:b/>
      <w:bCs/>
      <w:sz w:val="32"/>
      <w:szCs w:val="32"/>
    </w:rPr>
  </w:style>
  <w:style w:type="character" w:customStyle="1" w:styleId="20">
    <w:name w:val="标题 3 Char"/>
    <w:basedOn w:val="14"/>
    <w:link w:val="4"/>
    <w:semiHidden/>
    <w:qFormat/>
    <w:uiPriority w:val="9"/>
    <w:rPr>
      <w:b/>
      <w:bCs/>
      <w:sz w:val="32"/>
      <w:szCs w:val="32"/>
    </w:rPr>
  </w:style>
  <w:style w:type="character" w:customStyle="1" w:styleId="21">
    <w:name w:val="标题 4 Char"/>
    <w:basedOn w:val="14"/>
    <w:link w:val="5"/>
    <w:semiHidden/>
    <w:qFormat/>
    <w:uiPriority w:val="9"/>
    <w:rPr>
      <w:rFonts w:asciiTheme="majorHAnsi" w:hAnsiTheme="majorHAnsi" w:eastAsiaTheme="majorEastAsia" w:cstheme="majorBidi"/>
      <w:b/>
      <w:bCs/>
      <w:sz w:val="28"/>
      <w:szCs w:val="28"/>
    </w:rPr>
  </w:style>
  <w:style w:type="character" w:customStyle="1" w:styleId="22">
    <w:name w:val="标题 5 Char"/>
    <w:basedOn w:val="14"/>
    <w:link w:val="6"/>
    <w:semiHidden/>
    <w:qFormat/>
    <w:uiPriority w:val="9"/>
    <w:rPr>
      <w:b/>
      <w:bCs/>
      <w:sz w:val="28"/>
      <w:szCs w:val="28"/>
    </w:rPr>
  </w:style>
  <w:style w:type="character" w:customStyle="1" w:styleId="23">
    <w:name w:val="标题 6 Char"/>
    <w:basedOn w:val="14"/>
    <w:link w:val="7"/>
    <w:semiHidden/>
    <w:qFormat/>
    <w:uiPriority w:val="9"/>
    <w:rPr>
      <w:rFonts w:asciiTheme="majorHAnsi" w:hAnsiTheme="majorHAnsi" w:eastAsiaTheme="majorEastAsia" w:cstheme="majorBidi"/>
      <w:b/>
      <w:bCs/>
      <w:sz w:val="24"/>
      <w:szCs w:val="24"/>
    </w:rPr>
  </w:style>
  <w:style w:type="character" w:customStyle="1" w:styleId="24">
    <w:name w:val="标题 7 Char"/>
    <w:basedOn w:val="14"/>
    <w:link w:val="8"/>
    <w:semiHidden/>
    <w:qFormat/>
    <w:uiPriority w:val="9"/>
    <w:rPr>
      <w:b/>
      <w:bCs/>
      <w:sz w:val="24"/>
      <w:szCs w:val="24"/>
    </w:rPr>
  </w:style>
  <w:style w:type="character" w:customStyle="1" w:styleId="25">
    <w:name w:val="标题 8 Char"/>
    <w:basedOn w:val="14"/>
    <w:link w:val="9"/>
    <w:semiHidden/>
    <w:qFormat/>
    <w:uiPriority w:val="9"/>
    <w:rPr>
      <w:rFonts w:asciiTheme="majorHAnsi" w:hAnsiTheme="majorHAnsi" w:eastAsiaTheme="majorEastAsia" w:cstheme="majorBidi"/>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wmf"/><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7231</Words>
  <Characters>8679</Characters>
  <Lines>61</Lines>
  <Paragraphs>17</Paragraphs>
  <TotalTime>0</TotalTime>
  <ScaleCrop>false</ScaleCrop>
  <LinksUpToDate>false</LinksUpToDate>
  <CharactersWithSpaces>8974</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2024-01-25T05:42:00Z</dcterms:created>
  <dc:creator>user</dc:creator>
  <cp:lastModifiedBy>康建莉</cp:lastModifiedBy>
  <dcterms:modified xsi:type="dcterms:W3CDTF">2025-02-20T07:35:09Z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5B991FAE17674AA69008F850CB7C7C42</vt:lpwstr>
  </property>
</Properties>
</file>