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江苏省仪征中学2024-2025学年度第</w:t>
      </w:r>
      <w:r>
        <w:rPr>
          <w:rFonts w:hint="eastAsia" w:ascii="黑体" w:hAnsi="黑体" w:eastAsia="黑体" w:cs="黑体"/>
          <w:b/>
          <w:bCs/>
          <w:sz w:val="28"/>
          <w:lang w:val="en-US" w:eastAsia="zh-CN"/>
        </w:rPr>
        <w:t>二</w:t>
      </w:r>
      <w:r>
        <w:rPr>
          <w:rFonts w:hint="eastAsia" w:ascii="黑体" w:hAnsi="黑体" w:eastAsia="黑体" w:cs="黑体"/>
          <w:b/>
          <w:bCs/>
          <w:sz w:val="28"/>
        </w:rPr>
        <w:t>学期高二历史提升性练习</w:t>
      </w:r>
      <w:r>
        <w:rPr>
          <w:rFonts w:hint="eastAsia" w:ascii="黑体" w:hAnsi="黑体" w:eastAsia="黑体" w:cs="黑体"/>
          <w:b/>
          <w:bCs/>
          <w:sz w:val="28"/>
          <w:lang w:val="en-US" w:eastAsia="zh-CN"/>
        </w:rPr>
        <w:t>七</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3</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29</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kern w:val="0"/>
          <w:szCs w:val="21"/>
        </w:rPr>
        <w:t>一、选择题</w:t>
      </w:r>
      <w:r>
        <w:rPr>
          <w:rFonts w:hint="eastAsia"/>
          <w:b/>
        </w:rPr>
        <w:t>（共16题</w:t>
      </w:r>
      <w:r>
        <w:rPr>
          <w:rFonts w:hint="eastAsia"/>
          <w:b/>
          <w:lang w:eastAsia="zh-CN"/>
        </w:rPr>
        <w:t>，</w:t>
      </w:r>
      <w:r>
        <w:rPr>
          <w:rFonts w:hint="eastAsia"/>
          <w:b/>
        </w:rPr>
        <w:t>每题3分</w:t>
      </w:r>
      <w:r>
        <w:rPr>
          <w:rFonts w:hint="eastAsia"/>
          <w:b/>
          <w:lang w:eastAsia="zh-CN"/>
        </w:rPr>
        <w:t>，</w:t>
      </w:r>
      <w:r>
        <w:rPr>
          <w:rFonts w:hint="eastAsia"/>
          <w:b/>
        </w:rPr>
        <w:t>合计48分）</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1．考古发现，广富林遗址深受龙山文化的影响，最终征服并取代了良渚文化，造成了社会和文化的重大震荡和变迁。据此可推断，该遗址</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A．已使用大量青铜农具               B．位于黄河流域中下游地区</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C．属于新石器时代早期               D．印证了中原文化影响扩大</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2．西汉初年，各王国社会生产发展较快，尤其以吴、齐为著，“孝惠高后时，天下初定，诸侯各务自附其民，吴有豫章郡铜山，即招致天下亡命者盗铸钱，东煮海水为盐，以故无赋，国用饶足。”据此可知</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A．文景之治推动西汉强盛             B．经济发展利于中央集权</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C．王国积极推动地方建设             D．郡国并行利于长治久安</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3．下表是关于唐代西南地区的三则史料，该材料最能佐证当时</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9" w:type="dxa"/>
            <w:tcMar>
              <w:left w:w="119" w:type="dxa"/>
              <w:right w:w="119" w:type="dxa"/>
            </w:tcMar>
            <w:vAlign w:val="center"/>
          </w:tcPr>
          <w:p>
            <w:pPr>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史料</w:t>
            </w:r>
          </w:p>
        </w:tc>
        <w:tc>
          <w:tcPr>
            <w:tcW w:w="2268" w:type="dxa"/>
            <w:tcMar>
              <w:left w:w="119" w:type="dxa"/>
              <w:right w:w="119" w:type="dxa"/>
            </w:tcMar>
            <w:vAlign w:val="center"/>
          </w:tcPr>
          <w:p>
            <w:pPr>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9" w:type="dxa"/>
            <w:tcMar>
              <w:left w:w="119" w:type="dxa"/>
              <w:right w:w="119" w:type="dxa"/>
            </w:tcMar>
            <w:vAlign w:val="center"/>
          </w:tcPr>
          <w:p>
            <w:pPr>
              <w:jc w:val="left"/>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灵池一以医卜为业者“孙儿辈将豆、麦入城货卖，收市盐、酪”</w:t>
            </w:r>
          </w:p>
        </w:tc>
        <w:tc>
          <w:tcPr>
            <w:tcW w:w="2268" w:type="dxa"/>
            <w:tcMar>
              <w:left w:w="119" w:type="dxa"/>
              <w:right w:w="119" w:type="dxa"/>
            </w:tcMar>
            <w:vAlign w:val="center"/>
          </w:tcPr>
          <w:p>
            <w:pPr>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《茅亭客话》卷8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9" w:type="dxa"/>
            <w:tcMar>
              <w:left w:w="119" w:type="dxa"/>
              <w:right w:w="119" w:type="dxa"/>
            </w:tcMar>
            <w:vAlign w:val="center"/>
          </w:tcPr>
          <w:p>
            <w:pPr>
              <w:jc w:val="left"/>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大顺二年，“成都城中乏食，弃儿满路。民有潜入行营贩米入城者”</w:t>
            </w:r>
          </w:p>
        </w:tc>
        <w:tc>
          <w:tcPr>
            <w:tcW w:w="2268" w:type="dxa"/>
            <w:tcMar>
              <w:left w:w="119" w:type="dxa"/>
              <w:right w:w="119" w:type="dxa"/>
            </w:tcMar>
            <w:vAlign w:val="center"/>
          </w:tcPr>
          <w:p>
            <w:pPr>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《资治通鉴》卷258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799" w:type="dxa"/>
            <w:tcMar>
              <w:left w:w="119" w:type="dxa"/>
              <w:right w:w="119" w:type="dxa"/>
            </w:tcMar>
            <w:vAlign w:val="center"/>
          </w:tcPr>
          <w:p>
            <w:pPr>
              <w:jc w:val="left"/>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蜀地“有人状如卢生所言，叩门求籴，怒其不应，因足其户，张重箦捍之”（注：“叩门求籴”即商人登门收购粮食）</w:t>
            </w:r>
          </w:p>
        </w:tc>
        <w:tc>
          <w:tcPr>
            <w:tcW w:w="2268" w:type="dxa"/>
            <w:tcMar>
              <w:left w:w="119" w:type="dxa"/>
              <w:right w:w="119" w:type="dxa"/>
            </w:tcMar>
            <w:vAlign w:val="center"/>
          </w:tcPr>
          <w:p>
            <w:pPr>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《酉阳杂俎》卷2</w:t>
            </w:r>
          </w:p>
        </w:tc>
      </w:tr>
    </w:tbl>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A．经济作物广泛种植                 B．城乡粮食商品化流通</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C．南方经济重心确立                 D．精耕细作农业的推广</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4．元代大众文学作品渗入大量的蒙古语词汇，增强了汉语的表达能力及形象性。如汉语的“站”原本只是动词“站立”的意思，在元代作品中，增加了驿站等名词性义项。这反映出元代</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A．固守蒙古文化元素                 B．民族矛盾逐渐缓和</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C．族群接触交融加深                 D．全面吸收汉族文化</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5．黄宗羲著作等身，但在他去世后的两百年内并不引人注目。到二十世纪初开始，推崇黄宗羲和《明夷待访录》的论著，便愈来愈多。这反映出</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A．文化专制政策松弛                 B．理学地位受到冲击</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C．晚清民族危机加剧                 D．传统儒学焕发新机</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6．1882年6月20日《申报》报道：“沪上刻有人招集股分，创为电灯者。其事原系西人主之，而一时出银附股者，合中西人跃而起。……因而买股不得之人，遂不惜重价以转购之，而股票于是大涨。”据此可知</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A．股票逐渐走向市场                 B．商业经营方式创新</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C．西人操控中国股市                 D．列强侵略不断深入</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7．11902年8月，顺天乡试在河南贡院举行。考试当天，八千多考生分三路，十二时起点名入场，时已八九点钟，士子入场心切，担心点名未应而失去入场机会，因而秩序大乱。混乱中，只好改为不点名入场，凭票领取试卷。这次事件</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A．以《马关条约》的签订为背景       B．反映民主革命潮流兴起</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C．刺激清政府开始筹划预备立宪       D．凸显科举改革的必要性</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8．下表是太原各校代表会议通过的三项决议。这些决议旨在</w:t>
      </w:r>
    </w:p>
    <w:tbl>
      <w:tblPr>
        <w:tblStyle w:val="10"/>
        <w:tblW w:w="4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90" w:type="dxa"/>
            <w:tcMar>
              <w:left w:w="119" w:type="dxa"/>
              <w:right w:w="119" w:type="dxa"/>
            </w:tcMar>
            <w:vAlign w:val="center"/>
          </w:tcPr>
          <w:p>
            <w:pPr>
              <w:jc w:val="left"/>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第一，向省长及省议会请愿；</w:t>
            </w:r>
          </w:p>
          <w:p>
            <w:pPr>
              <w:jc w:val="left"/>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第二，集体游行示威</w:t>
            </w:r>
          </w:p>
          <w:p>
            <w:pPr>
              <w:jc w:val="left"/>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第三，呼喊“废除二十一条”等口号。</w:t>
            </w:r>
          </w:p>
        </w:tc>
      </w:tr>
    </w:tbl>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A．支持一二·九学生运动             B．声援五四学生爱国运动</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C．谴责日本制造“济南惨案”         D．抗议日本制造九一八事变</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9．大兴纱厂是华北地区建厂最早、规模最大的纺织企业，从1946年4月开始着力抢购外汇和黄金。下图是1946年10月至1948年底该厂实存美金示意图。图中数据变化折射出</w:t>
      </w:r>
    </w:p>
    <w:p>
      <w:pPr>
        <w:pStyle w:val="18"/>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美元（含汇票）</w:t>
      </w:r>
    </w:p>
    <w:p>
      <w:pPr>
        <w:pStyle w:val="18"/>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drawing>
          <wp:inline distT="0" distB="0" distL="0" distR="0">
            <wp:extent cx="3352800" cy="1276985"/>
            <wp:effectExtent l="0" t="0" r="0" b="5715"/>
            <wp:docPr id="1" name="20241122124512_622e74eff6fb4f7c9f5ab560fff498971.jpeg" descr="中学历史教学园地（www.zxls.com）——全国文章总量、访问量最大的历史教学网站。">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1122124512_622e74eff6fb4f7c9f5ab560fff498971.jpeg" descr="中学历史教学园地（www.zxls.com）——全国文章总量、访问量最大的历史教学网站。"/>
                    <pic:cNvPicPr>
                      <a:picLocks noChangeAspect="1" noChangeArrowheads="1"/>
                    </pic:cNvPicPr>
                  </pic:nvPicPr>
                  <pic:blipFill>
                    <a:blip r:embed="rId6"/>
                    <a:srcRect t="9862"/>
                    <a:stretch>
                      <a:fillRect/>
                    </a:stretch>
                  </pic:blipFill>
                  <pic:spPr>
                    <a:xfrm>
                      <a:off x="0" y="0"/>
                      <a:ext cx="3352800" cy="1276989"/>
                    </a:xfrm>
                    <a:prstGeom prst="rect">
                      <a:avLst/>
                    </a:prstGeom>
                  </pic:spPr>
                </pic:pic>
              </a:graphicData>
            </a:graphic>
          </wp:inline>
        </w:drawing>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A．国际货币体系严重冲击中国         B．华北地区发行人民币</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C．人民解放战争即将走向胜利         D．国统区恶性通货膨胀</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10．“通过这次会议，新中国初步打破了美国的孤立和遏制政策，扩展了国际和平统一战线，为国家建设创造了有利的世界与周边环境。中国与老挝、柬埔寨的关系也有了良好开端……中法联系的建立，为增加相互了解提供了机会。”该会议</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A．为开创新型外交指明了方向         B．为中日正式建交创造直接条件</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C．实现同西方大国关系的突破         D．促进印度支那问题的政治解决</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11．1957—1962年，国家发布了多个涉及企业职工、军人等退休养老的制度性安排文件。1969年以后，保障制的责任重心开始由国家转向单位，城镇企事业单位包办社会保障等事务的现象迅速扩张。这种状况</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A．推动社会保障制度成熟             B．成为以后国企改革的重要动因</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C．导致医疗保险体系形成             D．以国民经济恢复和调整为基础</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12．印度摔跤受不同种姓、教派的男女追捧，许多城市都会在城门侧修建摔跤和拳击场，并且在比赛中已经有了裁判。佛教学校大多会有供人练习摔跤的健身房，吠舍们经常去旷野或丛林唱歌、跳舞，进行拳击和其他娱乐项目。这些社会现象</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A．促进了早期国家的形成             B．适应了封建统治阶级的需求</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C．对种姓制度形成了冲击             D．利于佛教逐渐获得主导地位</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13．13世纪初，“无地王”约翰在位期间经常破坏封建惯例，任意没收附庸土地，不断增加城市捐税。随着英国在对法战争中连连失利在内外夹攻下，约翰只得承认自己是教皇的附庸。这表明，当时的英格兰急需</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A．限制国王滥用权力                 B．强化封君封臣制度</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C．加强民族国家建设                 D．推进宗教改革运动</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18世纪60年代，法国纱线开始取代以前必须从印度或小亚细亚进口的劣质纱线。棉制品需求也增长极快，不仅用于女士的服饰，也用在家庭的装饰和帘帷等。与此同时，法国鲁昂、亚眠、特鲁瓦的工厂还增加了对本国殖民地的出口，这可用于说明</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A．法国已具备工业革命的若干条件     B．科学技术与生产紧密地结合</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C．工厂制度极大地提高了生产效率     D．工业革命促进法国全球扩张</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15．20世纪初，政治团体在非洲各殖民地纷纷成立，如1908年安哥拉成立非洲联盟，1912年南非成立非洲人土著国民大会，1914年尼日利亚建立了尼日利亚全国民主党。此类团体的建立</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A．标志着非洲殖民体系的崩溃         B．借鉴了印度非暴力不合作模式</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C．延缓了列强瓜分非洲的速度         D．促进了民族独立思想广泛传播</w:t>
      </w:r>
    </w:p>
    <w:p>
      <w:pPr>
        <w:pStyle w:val="18"/>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16．苏联历史上，产品标准国际化是个很大问题。如为了简化而采用自己设定的“公制英寸”生产自己的芯片，但实际上插座与欧美标准不合，这使得苏联微电子产品无法出口西方国家。这反映出，苏联</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A．高新技术已长期落后               B．在美苏争霸中处于劣势</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C．相对封闭的对外方针               D．无力打破西方技术封锁</w:t>
      </w:r>
    </w:p>
    <w:p>
      <w:pPr>
        <w:numPr>
          <w:ilvl w:val="0"/>
          <w:numId w:val="0"/>
        </w:numPr>
        <w:tabs>
          <w:tab w:val="left" w:pos="4620"/>
        </w:tabs>
        <w:snapToGrid w:val="0"/>
        <w:rPr>
          <w:rFonts w:hint="eastAsia" w:ascii="宋体" w:hAnsi="宋体" w:cs="宋体"/>
          <w:bCs/>
          <w:kern w:val="0"/>
          <w:szCs w:val="21"/>
          <w:lang w:val="en-US" w:eastAsia="zh-CN"/>
        </w:rPr>
      </w:pPr>
      <w:r>
        <w:rPr>
          <w:rFonts w:hint="eastAsia" w:cs="宋体" w:asciiTheme="minorEastAsia" w:hAnsiTheme="minorEastAsia"/>
          <w:b/>
          <w:bCs/>
          <w:color w:val="000000" w:themeColor="text1"/>
          <w:szCs w:val="21"/>
          <w:lang w:val="en-US" w:eastAsia="zh-CN"/>
          <w14:textFill>
            <w14:solidFill>
              <w14:schemeClr w14:val="tx1"/>
            </w14:solidFill>
          </w14:textFill>
        </w:rPr>
        <w:t>二、</w:t>
      </w:r>
      <w:r>
        <w:rPr>
          <w:rFonts w:hint="eastAsia" w:cs="宋体" w:asciiTheme="minorEastAsia" w:hAnsiTheme="minorEastAsia"/>
          <w:b/>
          <w:bCs/>
          <w:color w:val="000000" w:themeColor="text1"/>
          <w:szCs w:val="21"/>
          <w14:textFill>
            <w14:solidFill>
              <w14:schemeClr w14:val="tx1"/>
            </w14:solidFill>
          </w14:textFill>
        </w:rPr>
        <w:t>非选择题</w:t>
      </w:r>
    </w:p>
    <w:p>
      <w:pPr>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w:t>
      </w:r>
      <w:r>
        <w:rPr>
          <w:rFonts w:hint="eastAsia" w:ascii="宋体" w:hAnsi="宋体" w:cs="宋体"/>
          <w:bCs/>
          <w:kern w:val="0"/>
          <w:sz w:val="21"/>
          <w:szCs w:val="21"/>
          <w:lang w:val="en-US" w:eastAsia="zh-CN" w:bidi="ar-SA"/>
        </w:rPr>
        <w:t>6</w:t>
      </w:r>
      <w:r>
        <w:rPr>
          <w:rFonts w:hint="eastAsia" w:ascii="宋体" w:hAnsi="宋体" w:cs="宋体" w:eastAsiaTheme="minorEastAsia"/>
          <w:bCs/>
          <w:kern w:val="0"/>
          <w:sz w:val="21"/>
          <w:szCs w:val="21"/>
          <w:lang w:val="en-US" w:eastAsia="zh-CN" w:bidi="ar-SA"/>
        </w:rPr>
        <w:t>分）</w:t>
      </w:r>
      <w:r>
        <w:rPr>
          <w:rFonts w:hint="eastAsia" w:ascii="宋体" w:hAnsi="宋体" w:cs="宋体"/>
          <w:bCs/>
          <w:kern w:val="0"/>
          <w:sz w:val="21"/>
          <w:szCs w:val="21"/>
          <w:lang w:val="en-US" w:eastAsia="zh-CN" w:bidi="ar-SA"/>
        </w:rPr>
        <w:t>17</w:t>
      </w:r>
      <w:r>
        <w:rPr>
          <w:rFonts w:hint="eastAsia" w:ascii="宋体" w:hAnsi="宋体" w:cs="宋体" w:eastAsiaTheme="minorEastAsia"/>
          <w:bCs/>
          <w:kern w:val="0"/>
          <w:sz w:val="21"/>
          <w:szCs w:val="21"/>
          <w:lang w:val="en-US" w:eastAsia="zh-CN" w:bidi="ar-SA"/>
        </w:rPr>
        <w:t>．阅读材料，完成下列要求。</w:t>
      </w:r>
    </w:p>
    <w:p>
      <w:pPr>
        <w:pStyle w:val="25"/>
        <w:ind w:left="0" w:leftChars="0" w:firstLine="0" w:firstLineChars="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材料一  在公众心目中，文官是不学无术、好逸恶劳的庸碌之辈，他们多是在其他职业竞争中被淘汰，靠权亲贵戚到政府部门来混饭吃的。从十九世纪五十年代起，英国政府开始对文官制度进行较全面的改革。改革是在两派政治势力激烈斗争中进行的，代表土地贵族、金融贵族利益的、长期以来把持政权的保守主义势力坚决反对改革。代表工商业资产阶级利益、刚刚取得政治统治权不久的自由主义势力，他们要求提高行政效能，极力倡导改革。改革肇始于东印度公司，1853年英国政府剥夺了公司的用人大权，第二年采纳了以公开竞争形式考试取士的建议。                   ——摘编自英国史研究会编《英国史论文集》</w:t>
      </w:r>
    </w:p>
    <w:p>
      <w:pPr>
        <w:pStyle w:val="25"/>
        <w:ind w:left="0" w:leftChars="0" w:firstLine="0" w:firstLineChars="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材料二  “精兵简政”政策的制定和推行，练于陕北著名的无党派民主人士李鼎铭先生在陕甘宁边区第二届参议会的一个提案。此时边区行政人员已从1938年的1.6万人增至7.3万人，征收的公粮从1938年的1.5万石增至1941年的20万石（后减为16万石）。同时，还发行了救国公债600万元（规定一年内还本息），以弥补财政赤字。1941年12月13日，中共中央向各抗日根据地发出“精兵简政，发展经济”的指示。精兵简政政策的有效实施，克服了根据地“鱼大水小”的矛盾。    ——摘编自黄超《抗战中的延安》</w:t>
      </w:r>
    </w:p>
    <w:p>
      <w:pPr>
        <w:pStyle w:val="24"/>
        <w:ind w:left="525" w:hanging="525" w:hangingChars="25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（1）据材料一结合所学知识，概括指出英国文官制度改革的原因。（7分）</w:t>
      </w:r>
    </w:p>
    <w:p>
      <w:pPr>
        <w:pStyle w:val="25"/>
        <w:rPr>
          <w:rFonts w:hint="eastAsia" w:ascii="宋体" w:hAnsi="宋体" w:cs="宋体" w:eastAsiaTheme="minorEastAsia"/>
          <w:bCs/>
          <w:kern w:val="0"/>
          <w:sz w:val="21"/>
          <w:szCs w:val="21"/>
          <w:lang w:val="en-US" w:eastAsia="zh-CN" w:bidi="ar-SA"/>
        </w:rPr>
      </w:pPr>
    </w:p>
    <w:p>
      <w:pPr>
        <w:pStyle w:val="25"/>
        <w:rPr>
          <w:rFonts w:hint="eastAsia" w:ascii="宋体" w:hAnsi="宋体" w:cs="宋体" w:eastAsiaTheme="minorEastAsia"/>
          <w:bCs/>
          <w:kern w:val="0"/>
          <w:sz w:val="21"/>
          <w:szCs w:val="21"/>
          <w:lang w:val="en-US" w:eastAsia="zh-CN" w:bidi="ar-SA"/>
        </w:rPr>
      </w:pPr>
    </w:p>
    <w:p>
      <w:pPr>
        <w:pStyle w:val="25"/>
        <w:rPr>
          <w:rFonts w:hint="eastAsia" w:ascii="宋体" w:hAnsi="宋体" w:cs="宋体" w:eastAsiaTheme="minorEastAsia"/>
          <w:bCs/>
          <w:kern w:val="0"/>
          <w:sz w:val="21"/>
          <w:szCs w:val="21"/>
          <w:lang w:val="en-US" w:eastAsia="zh-CN" w:bidi="ar-SA"/>
        </w:rPr>
      </w:pPr>
    </w:p>
    <w:p>
      <w:pPr>
        <w:pStyle w:val="25"/>
        <w:ind w:left="0" w:leftChars="0" w:firstLine="0" w:firstLineChars="0"/>
        <w:rPr>
          <w:rFonts w:hint="eastAsia" w:ascii="宋体" w:hAnsi="宋体" w:cs="宋体" w:eastAsiaTheme="minorEastAsia"/>
          <w:bCs/>
          <w:kern w:val="0"/>
          <w:sz w:val="21"/>
          <w:szCs w:val="21"/>
          <w:lang w:val="en-US" w:eastAsia="zh-CN" w:bidi="ar-SA"/>
        </w:rPr>
      </w:pPr>
    </w:p>
    <w:p>
      <w:pPr>
        <w:pStyle w:val="25"/>
        <w:ind w:left="0" w:leftChars="0" w:firstLine="0" w:firstLineChars="0"/>
        <w:rPr>
          <w:rFonts w:hint="eastAsia" w:ascii="宋体" w:hAnsi="宋体" w:cs="宋体" w:eastAsiaTheme="minorEastAsia"/>
          <w:bCs/>
          <w:kern w:val="0"/>
          <w:sz w:val="21"/>
          <w:szCs w:val="21"/>
          <w:lang w:val="en-US" w:eastAsia="zh-CN" w:bidi="ar-SA"/>
        </w:rPr>
      </w:pPr>
    </w:p>
    <w:p>
      <w:pPr>
        <w:pStyle w:val="25"/>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cs="宋体" w:eastAsiaTheme="minorEastAsia"/>
          <w:bCs/>
          <w:kern w:val="0"/>
          <w:sz w:val="21"/>
          <w:szCs w:val="21"/>
          <w:lang w:val="en-US" w:eastAsia="zh-CN" w:bidi="ar-SA"/>
        </w:rPr>
      </w:pPr>
    </w:p>
    <w:p>
      <w:pPr>
        <w:pStyle w:val="24"/>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（2）据材料二结合所学知识，简析敌后抗日根据地推行“精兵简政”政策的必要性，说明其重大意义</w:t>
      </w:r>
      <w:r>
        <w:rPr>
          <w:rFonts w:hint="eastAsia" w:cs="宋体"/>
          <w:bCs/>
          <w:kern w:val="0"/>
          <w:sz w:val="21"/>
          <w:szCs w:val="21"/>
          <w:lang w:val="en-US" w:eastAsia="zh-CN" w:bidi="ar-SA"/>
        </w:rPr>
        <w:t>。</w:t>
      </w:r>
      <w:r>
        <w:rPr>
          <w:rFonts w:hint="eastAsia" w:ascii="宋体" w:hAnsi="宋体" w:cs="宋体" w:eastAsiaTheme="minorEastAsia"/>
          <w:bCs/>
          <w:kern w:val="0"/>
          <w:sz w:val="21"/>
          <w:szCs w:val="21"/>
          <w:lang w:val="en-US" w:eastAsia="zh-CN" w:bidi="ar-SA"/>
        </w:rPr>
        <w:t>（9分）</w:t>
      </w:r>
    </w:p>
    <w:p>
      <w:pPr>
        <w:spacing w:line="360" w:lineRule="auto"/>
        <w:rPr>
          <w:rFonts w:hint="eastAsia" w:ascii="宋体" w:hAnsi="宋体" w:cs="宋体" w:eastAsiaTheme="minorEastAsia"/>
          <w:bCs/>
          <w:kern w:val="0"/>
          <w:sz w:val="21"/>
          <w:szCs w:val="21"/>
          <w:lang w:val="en-US" w:eastAsia="zh-CN" w:bidi="ar-SA"/>
        </w:rPr>
      </w:pPr>
    </w:p>
    <w:p>
      <w:pPr>
        <w:spacing w:line="360" w:lineRule="auto"/>
        <w:rPr>
          <w:rFonts w:hint="eastAsia" w:ascii="宋体" w:hAnsi="宋体" w:cs="宋体" w:eastAsiaTheme="minorEastAsia"/>
          <w:bCs/>
          <w:kern w:val="0"/>
          <w:sz w:val="21"/>
          <w:szCs w:val="21"/>
          <w:lang w:val="en-US" w:eastAsia="zh-CN" w:bidi="ar-SA"/>
        </w:rPr>
      </w:pPr>
    </w:p>
    <w:p>
      <w:pPr>
        <w:spacing w:line="360" w:lineRule="auto"/>
        <w:rPr>
          <w:rFonts w:hint="eastAsia" w:ascii="宋体" w:hAnsi="宋体" w:cs="宋体" w:eastAsiaTheme="minorEastAsia"/>
          <w:bCs/>
          <w:kern w:val="0"/>
          <w:sz w:val="21"/>
          <w:szCs w:val="21"/>
          <w:lang w:val="en-US" w:eastAsia="zh-CN" w:bidi="ar-SA"/>
        </w:rPr>
      </w:pPr>
    </w:p>
    <w:p>
      <w:pPr>
        <w:spacing w:line="360" w:lineRule="auto"/>
        <w:rPr>
          <w:rFonts w:hint="eastAsia" w:ascii="宋体" w:hAnsi="宋体" w:cs="宋体" w:eastAsiaTheme="minorEastAsia"/>
          <w:bCs/>
          <w:kern w:val="0"/>
          <w:sz w:val="21"/>
          <w:szCs w:val="21"/>
          <w:lang w:val="en-US" w:eastAsia="zh-CN" w:bidi="ar-SA"/>
        </w:rPr>
      </w:pPr>
    </w:p>
    <w:p>
      <w:pPr>
        <w:spacing w:line="360" w:lineRule="auto"/>
        <w:rPr>
          <w:rFonts w:hint="eastAsia" w:ascii="宋体" w:hAnsi="宋体" w:cs="宋体" w:eastAsiaTheme="minorEastAsia"/>
          <w:bCs/>
          <w:kern w:val="0"/>
          <w:sz w:val="21"/>
          <w:szCs w:val="21"/>
          <w:lang w:val="en-US" w:eastAsia="zh-CN" w:bidi="ar-SA"/>
        </w:rPr>
      </w:pPr>
    </w:p>
    <w:p>
      <w:pPr>
        <w:pStyle w:val="24"/>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（12分）</w:t>
      </w:r>
      <w:r>
        <w:rPr>
          <w:rFonts w:hint="eastAsia" w:ascii="宋体" w:hAnsi="宋体" w:cs="宋体" w:eastAsiaTheme="minorEastAsia"/>
          <w:bCs/>
          <w:kern w:val="0"/>
          <w:sz w:val="21"/>
          <w:szCs w:val="21"/>
          <w:lang w:val="en-US" w:eastAsia="zh-CN" w:bidi="ar-SA"/>
        </w:rPr>
        <w:t>18．阅读材料，完成下列要求。</w:t>
      </w:r>
    </w:p>
    <w:p>
      <w:pPr>
        <w:pStyle w:val="25"/>
        <w:ind w:left="0" w:leftChars="0" w:firstLine="0" w:firstLineChars="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  明代人社会地位上升的要诀在于勤俭，然后读书仕进；而其社会地位的下降则在于骄奢淫逸、浪费不赀。自正德以后，由于赋税日增，徭役日重，“昔日乡官家人亦不甚多，今去农而为乡官家人者，已十倍于前矣。昔日官府之人有限，今去农而蚕食于官府者，五倍于前矣。昔日逐末之人尚少，今去农而改业为工商者，三倍于前矣。昔日原无游手之人，今去农而游手趁食者，又十之二三矣。”南京的典当铺在正德以前全是本地人开设，但到了万历年间，这些典当铺与其他绸缎铺、盐店“皆为外省外郡富民所据矣”。在很多城市都出现了商籍，如山东临清，“十九皆徽商占籍，商亦籍也”。明世宗曾下诏，允许多年客居北京的军民可以附籍大兴、宛平二县，事实上就是承认了寄籍的合法性。工匠在客居之地时间一久也入籍当地，在客居地参加科举考试。                           ——摘编自陈宝良《明代社会流动性初探》</w:t>
      </w:r>
    </w:p>
    <w:p>
      <w:pPr>
        <w:pStyle w:val="24"/>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（1）据材料并结合所学知识，概括明代中后期社会流动性加强的表现，并指出推动这一时期社会流动的基本因素。（7分）</w:t>
      </w:r>
    </w:p>
    <w:p>
      <w:pPr>
        <w:pStyle w:val="25"/>
        <w:rPr>
          <w:rFonts w:hint="eastAsia" w:ascii="宋体" w:hAnsi="宋体" w:cs="宋体" w:eastAsiaTheme="minorEastAsia"/>
          <w:bCs/>
          <w:kern w:val="0"/>
          <w:sz w:val="21"/>
          <w:szCs w:val="21"/>
          <w:lang w:val="en-US" w:eastAsia="zh-CN" w:bidi="ar-SA"/>
        </w:rPr>
      </w:pPr>
    </w:p>
    <w:p>
      <w:pPr>
        <w:pStyle w:val="25"/>
        <w:rPr>
          <w:rFonts w:hint="eastAsia" w:ascii="宋体" w:hAnsi="宋体" w:cs="宋体" w:eastAsiaTheme="minorEastAsia"/>
          <w:bCs/>
          <w:kern w:val="0"/>
          <w:sz w:val="21"/>
          <w:szCs w:val="21"/>
          <w:lang w:val="en-US" w:eastAsia="zh-CN" w:bidi="ar-SA"/>
        </w:rPr>
      </w:pPr>
    </w:p>
    <w:p>
      <w:pPr>
        <w:pStyle w:val="25"/>
        <w:rPr>
          <w:rFonts w:hint="eastAsia" w:ascii="宋体" w:hAnsi="宋体" w:cs="宋体" w:eastAsiaTheme="minorEastAsia"/>
          <w:bCs/>
          <w:kern w:val="0"/>
          <w:sz w:val="21"/>
          <w:szCs w:val="21"/>
          <w:lang w:val="en-US" w:eastAsia="zh-CN" w:bidi="ar-SA"/>
        </w:rPr>
      </w:pPr>
      <w:bookmarkStart w:id="0" w:name="_GoBack"/>
      <w:bookmarkEnd w:id="0"/>
    </w:p>
    <w:p>
      <w:pPr>
        <w:pStyle w:val="25"/>
        <w:rPr>
          <w:rFonts w:hint="eastAsia" w:ascii="宋体" w:hAnsi="宋体" w:cs="宋体" w:eastAsiaTheme="minorEastAsia"/>
          <w:bCs/>
          <w:kern w:val="0"/>
          <w:sz w:val="21"/>
          <w:szCs w:val="21"/>
          <w:lang w:val="en-US" w:eastAsia="zh-CN" w:bidi="ar-SA"/>
        </w:rPr>
      </w:pPr>
    </w:p>
    <w:p>
      <w:pPr>
        <w:pStyle w:val="25"/>
        <w:rPr>
          <w:rFonts w:hint="eastAsia" w:ascii="宋体" w:hAnsi="宋体" w:cs="宋体" w:eastAsiaTheme="minorEastAsia"/>
          <w:bCs/>
          <w:kern w:val="0"/>
          <w:sz w:val="21"/>
          <w:szCs w:val="21"/>
          <w:lang w:val="en-US" w:eastAsia="zh-CN" w:bidi="ar-SA"/>
        </w:rPr>
      </w:pPr>
    </w:p>
    <w:p>
      <w:pPr>
        <w:pStyle w:val="24"/>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（2）据材料结合所学知识，简析明代中后期社会流动性加强的影响。（5分）</w:t>
      </w:r>
    </w:p>
    <w:p>
      <w:pPr>
        <w:textAlignment w:val="center"/>
        <w:rPr>
          <w:rFonts w:hint="eastAsia" w:ascii="宋体" w:hAnsi="宋体" w:cs="宋体" w:eastAsiaTheme="minorEastAsia"/>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116312F"/>
    <w:rsid w:val="01BF2827"/>
    <w:rsid w:val="01E70B9F"/>
    <w:rsid w:val="020A533B"/>
    <w:rsid w:val="02357803"/>
    <w:rsid w:val="03032638"/>
    <w:rsid w:val="03E372CB"/>
    <w:rsid w:val="06AA08C2"/>
    <w:rsid w:val="06F636A4"/>
    <w:rsid w:val="07BE3D15"/>
    <w:rsid w:val="081F643A"/>
    <w:rsid w:val="094B3863"/>
    <w:rsid w:val="09BB4FB7"/>
    <w:rsid w:val="0D84493F"/>
    <w:rsid w:val="0DB24C72"/>
    <w:rsid w:val="0DD759F4"/>
    <w:rsid w:val="0EC22051"/>
    <w:rsid w:val="0F207965"/>
    <w:rsid w:val="13B80076"/>
    <w:rsid w:val="13E62E35"/>
    <w:rsid w:val="14EF06F6"/>
    <w:rsid w:val="1607540D"/>
    <w:rsid w:val="19F747BA"/>
    <w:rsid w:val="1A1A5DD2"/>
    <w:rsid w:val="1A51364F"/>
    <w:rsid w:val="1AF05866"/>
    <w:rsid w:val="1C8E248C"/>
    <w:rsid w:val="1E696309"/>
    <w:rsid w:val="1F136AA8"/>
    <w:rsid w:val="2053578C"/>
    <w:rsid w:val="21E31EE2"/>
    <w:rsid w:val="224A55CB"/>
    <w:rsid w:val="25DC5E46"/>
    <w:rsid w:val="278953A3"/>
    <w:rsid w:val="2929534F"/>
    <w:rsid w:val="2BF00744"/>
    <w:rsid w:val="2C3B7059"/>
    <w:rsid w:val="2DFB406F"/>
    <w:rsid w:val="2E450D6E"/>
    <w:rsid w:val="30F445E1"/>
    <w:rsid w:val="32062834"/>
    <w:rsid w:val="35972A85"/>
    <w:rsid w:val="35FC7E3E"/>
    <w:rsid w:val="36153997"/>
    <w:rsid w:val="36911CE7"/>
    <w:rsid w:val="37283058"/>
    <w:rsid w:val="37BF6A7B"/>
    <w:rsid w:val="381912C4"/>
    <w:rsid w:val="3AAA3936"/>
    <w:rsid w:val="3B791858"/>
    <w:rsid w:val="3C04482D"/>
    <w:rsid w:val="3C5724DC"/>
    <w:rsid w:val="3DB8735D"/>
    <w:rsid w:val="3EFB760D"/>
    <w:rsid w:val="400131E3"/>
    <w:rsid w:val="403748CC"/>
    <w:rsid w:val="41831BE9"/>
    <w:rsid w:val="44BA514C"/>
    <w:rsid w:val="45473785"/>
    <w:rsid w:val="45763769"/>
    <w:rsid w:val="45E37EBF"/>
    <w:rsid w:val="46BD28C6"/>
    <w:rsid w:val="48BF44EB"/>
    <w:rsid w:val="4B21657D"/>
    <w:rsid w:val="4B3149DB"/>
    <w:rsid w:val="4B560A3D"/>
    <w:rsid w:val="4BDF4E71"/>
    <w:rsid w:val="4C22343F"/>
    <w:rsid w:val="4C72630D"/>
    <w:rsid w:val="4C731E5C"/>
    <w:rsid w:val="4D804B86"/>
    <w:rsid w:val="508036FB"/>
    <w:rsid w:val="50834975"/>
    <w:rsid w:val="509413EB"/>
    <w:rsid w:val="50F3182D"/>
    <w:rsid w:val="5233759F"/>
    <w:rsid w:val="523D01FF"/>
    <w:rsid w:val="531A47AB"/>
    <w:rsid w:val="53562642"/>
    <w:rsid w:val="57F2715C"/>
    <w:rsid w:val="584C23CD"/>
    <w:rsid w:val="5AAF7AC9"/>
    <w:rsid w:val="5C911059"/>
    <w:rsid w:val="5CCE63AA"/>
    <w:rsid w:val="5D396778"/>
    <w:rsid w:val="5DAB25D9"/>
    <w:rsid w:val="6004268F"/>
    <w:rsid w:val="603B2849"/>
    <w:rsid w:val="63D6054F"/>
    <w:rsid w:val="65425FF6"/>
    <w:rsid w:val="660C0899"/>
    <w:rsid w:val="663C1D0B"/>
    <w:rsid w:val="68E2489D"/>
    <w:rsid w:val="692E3F76"/>
    <w:rsid w:val="69881695"/>
    <w:rsid w:val="6A3521BF"/>
    <w:rsid w:val="6A3D40D1"/>
    <w:rsid w:val="6B291B28"/>
    <w:rsid w:val="6BF20B4C"/>
    <w:rsid w:val="6E761971"/>
    <w:rsid w:val="6F3A7F32"/>
    <w:rsid w:val="6F971D37"/>
    <w:rsid w:val="6FC01CEA"/>
    <w:rsid w:val="72CF7BE5"/>
    <w:rsid w:val="73272CFD"/>
    <w:rsid w:val="736E3CDB"/>
    <w:rsid w:val="7377799E"/>
    <w:rsid w:val="750C7A09"/>
    <w:rsid w:val="777C16D9"/>
    <w:rsid w:val="7A3031E0"/>
    <w:rsid w:val="7C875015"/>
    <w:rsid w:val="7E2A4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 w:type="paragraph" w:customStyle="1" w:styleId="30">
    <w:name w:val="试卷-题型-标题"/>
    <w:basedOn w:val="1"/>
    <w:qFormat/>
    <w:uiPriority w:val="0"/>
    <w:pPr>
      <w:spacing w:line="360" w:lineRule="auto"/>
    </w:pPr>
    <w:rPr>
      <w:rFonts w:ascii="Times New Roman" w:hAnsi="黑体" w:eastAsia="黑体" w:cs="Times New Roman"/>
      <w:b/>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hyperlink" Target="http://www.zxls.com/" TargetMode="Externa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3383</Words>
  <Characters>3482</Characters>
  <Lines>33</Lines>
  <Paragraphs>9</Paragraphs>
  <TotalTime>3</TotalTime>
  <ScaleCrop>false</ScaleCrop>
  <LinksUpToDate>false</LinksUpToDate>
  <CharactersWithSpaces>4105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2025-03-18T08:48:11Z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