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学期高二历史提升性练习</w:t>
      </w:r>
      <w:r>
        <w:rPr>
          <w:rFonts w:hint="eastAsia" w:ascii="黑体" w:hAnsi="黑体" w:eastAsia="黑体" w:cs="黑体"/>
          <w:b/>
          <w:bCs/>
          <w:sz w:val="28"/>
          <w:lang w:val="en-US" w:eastAsia="zh-CN"/>
        </w:rPr>
        <w:t>五</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3</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15</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w:t>
      </w:r>
      <w:r>
        <w:rPr>
          <w:rFonts w:hint="eastAsia"/>
          <w:b/>
          <w:lang w:eastAsia="zh-CN"/>
        </w:rPr>
        <w:t>，</w:t>
      </w:r>
      <w:r>
        <w:rPr>
          <w:rFonts w:hint="eastAsia"/>
          <w:b/>
        </w:rPr>
        <w:t>每题3分</w:t>
      </w:r>
      <w:r>
        <w:rPr>
          <w:rFonts w:hint="eastAsia"/>
          <w:b/>
          <w:lang w:eastAsia="zh-CN"/>
        </w:rPr>
        <w:t>，</w:t>
      </w:r>
      <w:r>
        <w:rPr>
          <w:rFonts w:hint="eastAsia"/>
          <w:b/>
        </w:rPr>
        <w:t>合计48分）</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 《中国古代建筑十论》中写道：“房屋面阔九间为皇帝专用，七间为王以上用，五间限贵族、显宦用，小官及庶人只能建三间之屋……在油漆彩画上，只有皇宫、寺观、贵邸方可用朱，一般官可用土红，庶民只用黑色。”由此可知，中国古代建筑</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受到佛教文化艺术的深刻影响</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兼具行政、宗教和商业的功能</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布局和装饰严格遵循礼仪制度</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体现建筑与自然环境协调一致</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 英国农民感受到时间的新单位是来自于进入村庄中的流动农业机械，谷物脱粒承包人要求按小时收费。很快，拥有机械的农业劳动者帮助邻居耕地也要求按小时计费。年青人都关心的脱粒机和收割机的效益，他们拿着小本子认真地记下这些机械的工作小时和消耗的燃料量。这说明</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工业文明影响农民的劳动观念</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工业革命加速农业生产衰落</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农民受到工厂制度的严格限制</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农业生产劳动的自主性增强</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 1780年，传教士、出版商雷克斯在英格兰的格洛斯特郡出资创办了星期日学校，这是一种在星期日为在工厂做工的青少年进行识字教育和宗教教育的免费学校，引起社会广泛关注。其后，星期日学校在各地陆续设立。它兴起的主要目的是</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弥补平民教育的缺失</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发挥宗教的教化作用</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防范社会秩序的混乱</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适应机器生产的需要</w:t>
      </w:r>
    </w:p>
    <w:p>
      <w:pPr>
        <w:tabs>
          <w:tab w:val="left" w:pos="4873"/>
        </w:tabs>
        <w:spacing w:line="338" w:lineRule="exact"/>
        <w:textAlignment w:val="center"/>
        <w:rPr>
          <w:rFonts w:ascii="宋体" w:hAnsi="宋体" w:eastAsia="宋体"/>
          <w:szCs w:val="21"/>
        </w:rPr>
      </w:pPr>
      <w:r>
        <w:rPr>
          <w:rFonts w:ascii="宋体" w:hAnsi="宋体" w:eastAsia="宋体"/>
          <w:szCs w:val="21"/>
        </w:rPr>
        <w:t>4. 下面这组壁画展现了魏晋南北朝时期的社会生产生活。它们所反映的主题是</w:t>
      </w:r>
    </w:p>
    <w:p>
      <w:pPr>
        <w:spacing w:line="360" w:lineRule="auto"/>
        <w:jc w:val="center"/>
        <w:textAlignment w:val="center"/>
        <w:rPr>
          <w:color w:val="000000"/>
        </w:rPr>
      </w:pPr>
      <w:r>
        <w:rPr>
          <w:color w:val="000000"/>
        </w:rPr>
        <w:drawing>
          <wp:inline distT="0" distB="0" distL="0" distR="0">
            <wp:extent cx="5236210" cy="1314450"/>
            <wp:effectExtent l="0" t="0" r="8890" b="6350"/>
            <wp:docPr id="2" name="图片 2" descr="学科网(www.zxxk.com)--教育资源门户，提供试卷、教案、课件、论文、素材以及各类教学资源下载，还有大量而丰富的教学相关资讯！ p6Gy2GGnB4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6Gy2GGnB47NAx1ODbqMbQ=="/>
                    <pic:cNvPicPr>
                      <a:picLocks noChangeAspect="1"/>
                    </pic:cNvPicPr>
                  </pic:nvPicPr>
                  <pic:blipFill>
                    <a:blip r:embed="rId5"/>
                    <a:stretch>
                      <a:fillRect/>
                    </a:stretch>
                  </pic:blipFill>
                  <pic:spPr>
                    <a:xfrm>
                      <a:off x="0" y="0"/>
                      <a:ext cx="5238750" cy="1314947"/>
                    </a:xfrm>
                    <a:prstGeom prst="rect">
                      <a:avLst/>
                    </a:prstGeom>
                  </pic:spPr>
                </pic:pic>
              </a:graphicData>
            </a:graphic>
          </wp:inline>
        </w:drawing>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经济重心的转移</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统一趋势的加强</w:t>
      </w:r>
      <w:r>
        <w:rPr>
          <w:rFonts w:hint="eastAsia" w:ascii="宋体" w:hAnsi="宋体" w:cs="宋体" w:eastAsiaTheme="minorEastAsia"/>
          <w:bCs/>
          <w:kern w:val="0"/>
          <w:sz w:val="21"/>
          <w:szCs w:val="21"/>
          <w:lang w:val="en-US" w:eastAsia="zh-CN" w:bidi="ar-SA"/>
        </w:rPr>
        <w:tab/>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民族交融的发展</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精耕细作的进步</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 据史料记载，16世纪末，中国福建发生饥荒，饥民依靠甘薯得以度荒。17世纪上半叶，英国入侵爱尔兰，捣毁庄稼，致使大多数农作物歉收乃至颗粒无收，唯有生长在地下的马铃薯安然无恙，帮助爱尔兰人度过荒年。据此可以得出</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食物物种交流改变了人们的饮食习惯            B. 新食物物种促进了人口</w:t>
      </w:r>
      <w:r>
        <w:rPr>
          <w:rFonts w:hint="eastAsia" w:ascii="宋体" w:hAnsi="宋体" w:cs="宋体" w:eastAsiaTheme="minorEastAsia"/>
          <w:bCs/>
          <w:kern w:val="0"/>
          <w:sz w:val="21"/>
          <w:szCs w:val="21"/>
          <w:lang w:val="en-US" w:eastAsia="zh-CN" w:bidi="ar-SA"/>
        </w:rPr>
        <w:drawing>
          <wp:inline distT="0" distB="0" distL="0" distR="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hint="eastAsia" w:ascii="宋体" w:hAnsi="宋体" w:cs="宋体" w:eastAsiaTheme="minorEastAsia"/>
          <w:bCs/>
          <w:kern w:val="0"/>
          <w:sz w:val="21"/>
          <w:szCs w:val="21"/>
          <w:lang w:val="en-US" w:eastAsia="zh-CN" w:bidi="ar-SA"/>
        </w:rPr>
        <w:t>增长</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新食物物种提高了人们的抗饥荒能力            D. 新食物物种扩大了粮食种植面积</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 嘉兴的王江泾镇，“多织绸收丝缟之利，居民可七千余家，不务耕绩”。濮院镇人“以机为田、以梭为耒”，而吴江的盛泽、黄溪的居民更是“尽逐绫绸之利，有力者雇人织挽，贫者皆自织，而令其童稚挽花，女工不事纺绩而日夕治丝”。这表明，明朝江南的某些城镇</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以织棉为生</w:t>
      </w:r>
      <w:r>
        <w:rPr>
          <w:rFonts w:hint="eastAsia" w:ascii="宋体" w:hAnsi="宋体" w:cs="宋体" w:eastAsiaTheme="minorEastAsia"/>
          <w:bCs/>
          <w:kern w:val="0"/>
          <w:sz w:val="21"/>
          <w:szCs w:val="21"/>
          <w:lang w:val="en-US" w:eastAsia="zh-CN" w:bidi="ar-SA"/>
        </w:rPr>
        <w:drawing>
          <wp:inline distT="0" distB="0" distL="0" distR="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hint="eastAsia" w:ascii="宋体" w:hAnsi="宋体" w:cs="宋体" w:eastAsiaTheme="minorEastAsia"/>
          <w:bCs/>
          <w:kern w:val="0"/>
          <w:sz w:val="21"/>
          <w:szCs w:val="21"/>
          <w:lang w:val="en-US" w:eastAsia="zh-CN" w:bidi="ar-SA"/>
        </w:rPr>
        <w:t>机户不断增加</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社会分工的进一步发展</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经济作物生产的日益专业化</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重农抑商政策名存实亡</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7. 1953年10月，中共卫生部党组向中央报告，确定卫生工作的重点首先是要加强工矿卫生和城市医疗工作，使农村卫生工作和互助合作运动密切结合，并继续开展爱国卫生运动，防治对人民危害性最大的疾病。这一举措的施行</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加速了国民经济的恢复和发展</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保障了国家工业化战略的实现</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使农村医疗卫生工作开始兴起</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服务国家经济建设重点的开展</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8. 考古发现，良渚古城周边存在大规模水利系统，河道、灌水孔、排水槽，规划有致；存在众多宽大田埂，蔓延近8万平方米。古城核心区域内还发现了20万公斤的稻谷堆积。这表明当时该地区</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水利技术成为相对独立的系统</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农业生产成为重要的经济活动</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国家动员和组织建设能力增强</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农业技术精耕细作的特征初显</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9.下表为部分年份英国鲍恩梯斯庄园的货币收入占比情况（%），据此可知</w:t>
      </w:r>
    </w:p>
    <w:tbl>
      <w:tblPr>
        <w:tblStyle w:val="9"/>
        <w:tblW w:w="8505"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59"/>
        <w:gridCol w:w="1134"/>
        <w:gridCol w:w="1843"/>
        <w:gridCol w:w="127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地租及法庭收入</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出售饲草、牧草、麦秆、木材</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出售谷物</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出卖、出租牲畜</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额外收入、归还欠款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1341-1342年</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8.7</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21.4</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40.5</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28.2</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1342-1343年</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7.8</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10.1</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53.9</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27.2</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0.4</w:t>
            </w:r>
          </w:p>
        </w:tc>
      </w:tr>
    </w:tbl>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庄园主与农奴的矛盾缓和</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庄园经济的商品化程度提高</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资本主义大农场普遍建立</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价格革命导致地租收入减少</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10.公元前59年，汉赋名家王褒在今四川成都附近写下了《僮约》，如“脍鱼炰鳖，烹茶尽具”“武阳买茶，杨氏担荷”“绵亭买席、牵犬贩鹅”“贩于小市、往来市聚”都是其中的名句。据此可以推知</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A.汉赋的描写诙谐没有史料价值</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B.秦代政府鼓励商品经济发展</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C.汉代庄园主具有强烈好斗风气</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D.西汉时期四川饮茶之风兴盛</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11. 18世纪以来，人们很快明白季节、日出日落和气候波动不再决定劳动的日程了，相反，钟表、机器和车间规定创造了新的劳动节奏。此现象深刻反映了</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手工工场的发展</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生产组织管理规范</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时间观念</w:t>
      </w:r>
      <w:r>
        <w:rPr>
          <w:rFonts w:hint="eastAsia" w:ascii="宋体" w:hAnsi="宋体" w:cs="宋体" w:eastAsiaTheme="minorEastAsia"/>
          <w:bCs/>
          <w:kern w:val="0"/>
          <w:sz w:val="21"/>
          <w:szCs w:val="21"/>
          <w:lang w:val="en-US" w:eastAsia="zh-CN" w:bidi="ar-SA"/>
        </w:rPr>
        <w:drawing>
          <wp:inline distT="0" distB="0" distL="0" distR="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hint="eastAsia" w:ascii="宋体" w:hAnsi="宋体" w:cs="宋体" w:eastAsiaTheme="minorEastAsia"/>
          <w:bCs/>
          <w:kern w:val="0"/>
          <w:sz w:val="21"/>
          <w:szCs w:val="21"/>
          <w:lang w:val="en-US" w:eastAsia="zh-CN" w:bidi="ar-SA"/>
        </w:rPr>
        <w:t>增强</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经济效益大幅提高</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12. 据考古发现，古代上、下埃及民居所筑造材料和建筑方式有明显不同：上埃及多用卵石筑基、用土坯砌墙，密排圆木成屋顶，而下埃及则以木材为墙基，上面造木构架，以芦苇束编墙。这些差异主要是基于</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宗教的信仰程度</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社会的等级观念</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文化习俗的不同</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自然环境的影响</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 1873年8月18日，《申报》报道上海洋泾浜一带已有人力车往来，乘坐者喜其便捷。由于人力车经济适用，大受人们欢迎。在20世纪30年代，它的数量远超过汽车，达到五六万辆之多。材料从侧面反映出</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近代中国交通业发展比较缓慢                 B. 人力车促进了中国交通的近代化</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近代中国交通呈半殖民地色彩                 D. 人力车较大提升了市民生活水平</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 16世纪后，欧洲市场上胡椒的供应量比14世纪中叶充足许多，且胡椒价格下降，走上更多寻常人家的餐桌，因而不再受到贵族的青睐，取而代之的是蔗糖、巧克力、茶叶和烟草。以上材料说明</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欧洲贵族全面接受了亚非饮食文化</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价格革命推动了洲际物种间的交流</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新航路的开辟削弱了旧贵族的地位</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食物被赋予区分社会等级的新功能</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15.下表反映了汉代冶铁业发展状况。这些状况可以佐证汉代</w:t>
      </w:r>
    </w:p>
    <w:tbl>
      <w:tblPr>
        <w:tblStyle w:val="9"/>
        <w:tblW w:w="7938" w:type="dxa"/>
        <w:tblInd w:w="8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793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·考古发掘的汉代冶铁遗址遍布全国各地仅河南省就发现汉代冶铁和铸铁遗址18处</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·汉武帝在全国设立铁官49处</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·汉代的铁官作坊共有冶铁高炉80余炉，日产达到24—48吨液态铁</w:t>
            </w:r>
          </w:p>
        </w:tc>
      </w:tr>
    </w:tbl>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社会对铁器的需求量大</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官府垄断经营铁制农具</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政府大力推广铁犁牛耕</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灌钢法提高了钢铁产量</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16. 欧洲人开始海外扩张后，股份公司以其有限责任，为投资提供了媒介，使欧洲大批资本用于海外冒险事业。东方商人因自身及其合伙人的资力有限，没有一个最终能成功地与东印度以及现存的哈得孙湾公司相竞争。据此可知当时</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殖民扩张以资本输出为主要形式</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B. 贸易规模扩大引发价格革命</w:t>
      </w:r>
    </w:p>
    <w:p>
      <w:pPr>
        <w:tabs>
          <w:tab w:val="left" w:pos="4873"/>
        </w:tabs>
        <w:spacing w:line="338" w:lineRule="exac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经营方式变革改变世界贸易格局</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D. 东方失去与西方竞争的优势</w:t>
      </w:r>
    </w:p>
    <w:p>
      <w:pPr>
        <w:numPr>
          <w:ilvl w:val="0"/>
          <w:numId w:val="0"/>
        </w:numPr>
        <w:tabs>
          <w:tab w:val="left" w:pos="4620"/>
        </w:tabs>
        <w:snapToGrid w:val="0"/>
        <w:rPr>
          <w:rFonts w:hint="eastAsia" w:cs="宋体" w:asciiTheme="minorEastAsia" w:hAnsiTheme="minorEastAsia"/>
          <w:b/>
          <w:bCs/>
          <w:color w:val="000000" w:themeColor="text1"/>
          <w:szCs w:val="21"/>
          <w:lang w:val="en-US" w:eastAsia="zh-CN"/>
          <w14:textFill>
            <w14:solidFill>
              <w14:schemeClr w14:val="tx1"/>
            </w14:solidFill>
          </w14:textFill>
        </w:rPr>
      </w:pPr>
    </w:p>
    <w:p>
      <w:pPr>
        <w:numPr>
          <w:ilvl w:val="0"/>
          <w:numId w:val="0"/>
        </w:numPr>
        <w:tabs>
          <w:tab w:val="left" w:pos="4620"/>
        </w:tabs>
        <w:snapToGrid w:val="0"/>
        <w:rPr>
          <w:rFonts w:hint="eastAsia" w:ascii="宋体" w:hAnsi="宋体" w:cs="宋体"/>
          <w:bCs/>
          <w:kern w:val="0"/>
          <w:szCs w:val="21"/>
          <w:lang w:val="en-US" w:eastAsia="zh-CN"/>
        </w:rPr>
      </w:pPr>
      <w:r>
        <w:rPr>
          <w:rFonts w:hint="eastAsia" w:cs="宋体" w:asciiTheme="minorEastAsia" w:hAnsiTheme="minorEastAsia"/>
          <w:b/>
          <w:bCs/>
          <w:color w:val="000000" w:themeColor="text1"/>
          <w:szCs w:val="21"/>
          <w:lang w:val="en-US" w:eastAsia="zh-CN"/>
          <w14:textFill>
            <w14:solidFill>
              <w14:schemeClr w14:val="tx1"/>
            </w14:solidFill>
          </w14:textFill>
        </w:rPr>
        <w:t>二、</w:t>
      </w:r>
      <w:r>
        <w:rPr>
          <w:rFonts w:hint="eastAsia" w:cs="宋体" w:asciiTheme="minorEastAsia" w:hAnsiTheme="minorEastAsia"/>
          <w:b/>
          <w:bCs/>
          <w:color w:val="000000" w:themeColor="text1"/>
          <w:szCs w:val="21"/>
          <w14:textFill>
            <w14:solidFill>
              <w14:schemeClr w14:val="tx1"/>
            </w14:solidFill>
          </w14:textFill>
        </w:rPr>
        <w:t>非选择题</w:t>
      </w:r>
    </w:p>
    <w:p>
      <w:pPr>
        <w:pStyle w:val="24"/>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w:t>
      </w:r>
      <w:r>
        <w:rPr>
          <w:rFonts w:hint="eastAsia" w:cs="宋体"/>
          <w:bCs/>
          <w:kern w:val="0"/>
          <w:sz w:val="21"/>
          <w:szCs w:val="21"/>
          <w:lang w:val="en-US" w:eastAsia="zh-CN" w:bidi="ar-SA"/>
        </w:rPr>
        <w:t>3</w:t>
      </w:r>
      <w:r>
        <w:rPr>
          <w:rFonts w:hint="eastAsia" w:ascii="宋体" w:hAnsi="宋体" w:cs="宋体" w:eastAsiaTheme="minorEastAsia"/>
          <w:bCs/>
          <w:kern w:val="0"/>
          <w:sz w:val="21"/>
          <w:szCs w:val="21"/>
          <w:lang w:val="en-US" w:eastAsia="zh-CN" w:bidi="ar-SA"/>
        </w:rPr>
        <w:t>分）</w:t>
      </w:r>
      <w:r>
        <w:rPr>
          <w:rFonts w:hint="eastAsia" w:cs="宋体"/>
          <w:bCs/>
          <w:kern w:val="0"/>
          <w:sz w:val="21"/>
          <w:szCs w:val="21"/>
          <w:lang w:val="en-US" w:eastAsia="zh-CN" w:bidi="ar-SA"/>
        </w:rPr>
        <w:t>17</w:t>
      </w:r>
      <w:r>
        <w:rPr>
          <w:rFonts w:hint="eastAsia" w:ascii="宋体" w:hAnsi="宋体" w:cs="宋体" w:eastAsiaTheme="minorEastAsia"/>
          <w:bCs/>
          <w:kern w:val="0"/>
          <w:sz w:val="21"/>
          <w:szCs w:val="21"/>
          <w:lang w:val="en-US" w:eastAsia="zh-CN" w:bidi="ar-SA"/>
        </w:rPr>
        <w:t>．阅读材料，完成下列要求。</w:t>
      </w: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  中国古代契约制度起源于夏商时期，到明清时期已经广泛应用于买卖、借贷、租赁等民事活动中。古代契约制度体现了“私的自治”精神，国家较少干预契约的订立。这使得契约内容更加灵活、适应性强。契约的履行通常依靠道德约束和当事人的信誉，而不是完全依赖于国家法律的强制执行。此外，礼在契约制度中的作用不可忽视，它通过道德规范约束和引导契约当事人，使契约的履行具有更强的社会责任感。礼与契约制度相辅相成，共同维护了社会秩序，既保证了契约双方的权益，又防止了契约自由过度扩展，体现了契约自由与社会责任的结合。         ——摘编自常洁琨《中国古代契约“私的自治”散考》等</w:t>
      </w: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（1）据材料概括中国古代契约制度的特点。(6分)</w:t>
      </w:r>
    </w:p>
    <w:p>
      <w:pPr>
        <w:jc w:val="left"/>
        <w:rPr>
          <w:rFonts w:hint="eastAsia" w:ascii="宋体" w:hAnsi="宋体" w:cs="宋体" w:eastAsiaTheme="minorEastAsia"/>
          <w:bCs/>
          <w:kern w:val="0"/>
          <w:sz w:val="21"/>
          <w:szCs w:val="21"/>
          <w:lang w:val="en-US" w:eastAsia="zh-CN" w:bidi="ar-SA"/>
        </w:rPr>
      </w:pPr>
    </w:p>
    <w:p>
      <w:pPr>
        <w:jc w:val="left"/>
        <w:rPr>
          <w:rFonts w:hint="eastAsia" w:ascii="宋体" w:hAnsi="宋体" w:cs="宋体" w:eastAsiaTheme="minorEastAsia"/>
          <w:bCs/>
          <w:kern w:val="0"/>
          <w:sz w:val="21"/>
          <w:szCs w:val="21"/>
          <w:lang w:val="en-US" w:eastAsia="zh-CN" w:bidi="ar-SA"/>
        </w:rPr>
      </w:pPr>
    </w:p>
    <w:p>
      <w:pPr>
        <w:jc w:val="left"/>
        <w:rPr>
          <w:rFonts w:hint="eastAsia" w:ascii="宋体" w:hAnsi="宋体" w:cs="宋体" w:eastAsiaTheme="minorEastAsia"/>
          <w:bCs/>
          <w:kern w:val="0"/>
          <w:sz w:val="21"/>
          <w:szCs w:val="21"/>
          <w:lang w:val="en-US" w:eastAsia="zh-CN" w:bidi="ar-SA"/>
        </w:rPr>
      </w:pPr>
    </w:p>
    <w:p>
      <w:pPr>
        <w:jc w:val="left"/>
        <w:rPr>
          <w:rFonts w:hint="eastAsia" w:ascii="宋体" w:hAnsi="宋体" w:cs="宋体" w:eastAsiaTheme="minorEastAsia"/>
          <w:bCs/>
          <w:kern w:val="0"/>
          <w:sz w:val="21"/>
          <w:szCs w:val="21"/>
          <w:lang w:val="en-US" w:eastAsia="zh-CN" w:bidi="ar-SA"/>
        </w:rPr>
      </w:pPr>
    </w:p>
    <w:p>
      <w:pPr>
        <w:jc w:val="left"/>
        <w:rPr>
          <w:rFonts w:hint="eastAsia" w:ascii="宋体" w:hAnsi="宋体" w:cs="宋体" w:eastAsiaTheme="minorEastAsia"/>
          <w:bCs/>
          <w:kern w:val="0"/>
          <w:sz w:val="21"/>
          <w:szCs w:val="21"/>
          <w:lang w:val="en-US" w:eastAsia="zh-CN" w:bidi="ar-SA"/>
        </w:rPr>
      </w:pP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（2）据材料并结合所学知识，简析“礼”在中国古代契约制度发展中的作用。(7分)</w:t>
      </w:r>
    </w:p>
    <w:p>
      <w:pPr>
        <w:jc w:val="left"/>
        <w:rPr>
          <w:rFonts w:hint="eastAsia" w:ascii="楷体" w:hAnsi="楷体" w:eastAsia="楷体"/>
          <w:b/>
          <w:szCs w:val="21"/>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bookmarkStart w:id="0" w:name="_GoBack"/>
      <w:bookmarkEnd w:id="0"/>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w:t>
      </w:r>
      <w:r>
        <w:rPr>
          <w:rFonts w:hint="eastAsia" w:ascii="宋体" w:hAnsi="宋体" w:cs="宋体"/>
          <w:bCs/>
          <w:kern w:val="0"/>
          <w:sz w:val="21"/>
          <w:szCs w:val="21"/>
          <w:lang w:val="en-US" w:eastAsia="zh-CN" w:bidi="ar-SA"/>
        </w:rPr>
        <w:t>15</w:t>
      </w:r>
      <w:r>
        <w:rPr>
          <w:rFonts w:hint="eastAsia" w:ascii="宋体" w:hAnsi="宋体" w:cs="宋体" w:eastAsiaTheme="minorEastAsia"/>
          <w:bCs/>
          <w:kern w:val="0"/>
          <w:sz w:val="21"/>
          <w:szCs w:val="21"/>
          <w:lang w:val="en-US" w:eastAsia="zh-CN" w:bidi="ar-SA"/>
        </w:rPr>
        <w:t>分）18.阅读材料，完成下列要求。</w:t>
      </w: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材料一  文官制度最早在英国产生，与市场经济紧密相关。市场经济体制是一种竞争型体制，国家公务员制度中的“公平竞争”原则，是市场经济原则在国家人事管理制度中的体现。竞争是市场经济的一个基本特点，竞争的基本规则是“机会均等，优胜劣汰”。实行文官公开竞争考试，择优录用，这一人事录用原则充分体现了市场经济的公平竞争原则，表明了文官制度与市场经济体制的一致性。</w:t>
      </w:r>
    </w:p>
    <w:p>
      <w:pPr>
        <w:ind w:firstLine="4200" w:firstLineChars="2000"/>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——摘编自胡象明《试论市场经济与国家公务员制度的关系》</w:t>
      </w: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  中国近代文官制度萌芽于晚清时期。1840年，列强的坚船利炮打破了中华帝国的大门，挑战了传统政治、经济以及思想文化，政府不得不陆续应对。处于过渡型社会之中的文官制度，其设计理念、制度创构到实际运作新旧杂陈，有诸多矛盾，但从长时段考察，现代文官制度在中国的创构，毕竟是对传统官制的重大变革，对此后产生了重要影响。                           ——摘编自李俊清《移植与嬗变》</w:t>
      </w: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（1）指出材料一的观点，结合所学知识分析推动英国文官制度产生的因素。（</w:t>
      </w:r>
      <w:r>
        <w:rPr>
          <w:rFonts w:hint="eastAsia" w:ascii="宋体" w:hAnsi="宋体" w:cs="宋体"/>
          <w:bCs/>
          <w:kern w:val="0"/>
          <w:sz w:val="21"/>
          <w:szCs w:val="21"/>
          <w:lang w:val="en-US" w:eastAsia="zh-CN" w:bidi="ar-SA"/>
        </w:rPr>
        <w:t>6</w:t>
      </w:r>
      <w:r>
        <w:rPr>
          <w:rFonts w:hint="eastAsia" w:ascii="宋体" w:hAnsi="宋体" w:cs="宋体" w:eastAsiaTheme="minorEastAsia"/>
          <w:bCs/>
          <w:kern w:val="0"/>
          <w:sz w:val="21"/>
          <w:szCs w:val="21"/>
          <w:lang w:val="en-US" w:eastAsia="zh-CN" w:bidi="ar-SA"/>
        </w:rPr>
        <w:t>分）</w:t>
      </w:r>
    </w:p>
    <w:p>
      <w:pPr>
        <w:textAlignment w:val="center"/>
        <w:rPr>
          <w:rFonts w:hint="eastAsia" w:ascii="宋体" w:hAnsi="宋体" w:cs="宋体" w:eastAsiaTheme="minorEastAsia"/>
          <w:bCs/>
          <w:kern w:val="0"/>
          <w:sz w:val="21"/>
          <w:szCs w:val="21"/>
          <w:lang w:val="en-US" w:eastAsia="zh-CN" w:bidi="ar-SA"/>
        </w:rPr>
      </w:pPr>
    </w:p>
    <w:p>
      <w:pPr>
        <w:textAlignment w:val="center"/>
        <w:rPr>
          <w:rFonts w:hint="eastAsia" w:ascii="宋体" w:hAnsi="宋体" w:cs="宋体" w:eastAsiaTheme="minorEastAsia"/>
          <w:bCs/>
          <w:kern w:val="0"/>
          <w:sz w:val="21"/>
          <w:szCs w:val="21"/>
          <w:lang w:val="en-US" w:eastAsia="zh-CN" w:bidi="ar-SA"/>
        </w:rPr>
      </w:pPr>
    </w:p>
    <w:p>
      <w:pPr>
        <w:textAlignment w:val="center"/>
        <w:rPr>
          <w:rFonts w:hint="eastAsia" w:ascii="宋体" w:hAnsi="宋体" w:cs="宋体" w:eastAsiaTheme="minorEastAsia"/>
          <w:bCs/>
          <w:kern w:val="0"/>
          <w:sz w:val="21"/>
          <w:szCs w:val="21"/>
          <w:lang w:val="en-US" w:eastAsia="zh-CN" w:bidi="ar-SA"/>
        </w:rPr>
      </w:pPr>
    </w:p>
    <w:p>
      <w:pPr>
        <w:textAlignment w:val="center"/>
        <w:rPr>
          <w:rFonts w:hint="eastAsia" w:ascii="宋体" w:hAnsi="宋体" w:cs="宋体" w:eastAsiaTheme="minorEastAsia"/>
          <w:bCs/>
          <w:kern w:val="0"/>
          <w:sz w:val="21"/>
          <w:szCs w:val="21"/>
          <w:lang w:val="en-US" w:eastAsia="zh-CN" w:bidi="ar-SA"/>
        </w:rPr>
      </w:pPr>
    </w:p>
    <w:p>
      <w:pPr>
        <w:textAlignment w:val="center"/>
        <w:rPr>
          <w:rFonts w:hint="eastAsia" w:ascii="宋体" w:hAnsi="宋体" w:cs="宋体" w:eastAsiaTheme="minorEastAsia"/>
          <w:bCs/>
          <w:kern w:val="0"/>
          <w:sz w:val="21"/>
          <w:szCs w:val="21"/>
          <w:lang w:val="en-US" w:eastAsia="zh-CN" w:bidi="ar-SA"/>
        </w:rPr>
      </w:pP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（2）据材料二概括中国近代文官制度的特点。（4分）</w:t>
      </w:r>
    </w:p>
    <w:p>
      <w:pPr>
        <w:textAlignment w:val="center"/>
        <w:rPr>
          <w:rFonts w:hint="eastAsia" w:ascii="宋体" w:hAnsi="宋体" w:cs="宋体" w:eastAsiaTheme="minorEastAsia"/>
          <w:bCs/>
          <w:kern w:val="0"/>
          <w:sz w:val="21"/>
          <w:szCs w:val="21"/>
          <w:lang w:val="en-US" w:eastAsia="zh-CN" w:bidi="ar-SA"/>
        </w:rPr>
      </w:pPr>
    </w:p>
    <w:p>
      <w:pPr>
        <w:textAlignment w:val="center"/>
        <w:rPr>
          <w:rFonts w:hint="eastAsia" w:ascii="宋体" w:hAnsi="宋体" w:cs="宋体" w:eastAsiaTheme="minorEastAsia"/>
          <w:bCs/>
          <w:kern w:val="0"/>
          <w:sz w:val="21"/>
          <w:szCs w:val="21"/>
          <w:lang w:val="en-US" w:eastAsia="zh-CN" w:bidi="ar-SA"/>
        </w:rPr>
      </w:pPr>
    </w:p>
    <w:p>
      <w:pPr>
        <w:textAlignment w:val="center"/>
        <w:rPr>
          <w:rFonts w:hint="eastAsia" w:ascii="宋体" w:hAnsi="宋体" w:cs="宋体" w:eastAsiaTheme="minorEastAsia"/>
          <w:bCs/>
          <w:kern w:val="0"/>
          <w:sz w:val="21"/>
          <w:szCs w:val="21"/>
          <w:lang w:val="en-US" w:eastAsia="zh-CN" w:bidi="ar-SA"/>
        </w:rPr>
      </w:pP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（3）综合上述材料并结合所学知识，简要评价中国近代的文官制度。（</w:t>
      </w:r>
      <w:r>
        <w:rPr>
          <w:rFonts w:hint="eastAsia" w:ascii="宋体" w:hAnsi="宋体" w:cs="宋体"/>
          <w:bCs/>
          <w:kern w:val="0"/>
          <w:sz w:val="21"/>
          <w:szCs w:val="21"/>
          <w:lang w:val="en-US" w:eastAsia="zh-CN" w:bidi="ar-SA"/>
        </w:rPr>
        <w:t>5</w:t>
      </w:r>
      <w:r>
        <w:rPr>
          <w:rFonts w:hint="eastAsia" w:ascii="宋体" w:hAnsi="宋体" w:cs="宋体" w:eastAsiaTheme="minorEastAsia"/>
          <w:bCs/>
          <w:kern w:val="0"/>
          <w:sz w:val="21"/>
          <w:szCs w:val="21"/>
          <w:lang w:val="en-US" w:eastAsia="zh-CN" w:bidi="ar-SA"/>
        </w:rPr>
        <w:t>分）</w:t>
      </w:r>
    </w:p>
    <w:p>
      <w:pPr>
        <w:textAlignment w:val="center"/>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116312F"/>
    <w:rsid w:val="01BF2827"/>
    <w:rsid w:val="020A533B"/>
    <w:rsid w:val="02357803"/>
    <w:rsid w:val="03032638"/>
    <w:rsid w:val="03E372CB"/>
    <w:rsid w:val="06AA08C2"/>
    <w:rsid w:val="07BE3D15"/>
    <w:rsid w:val="081F643A"/>
    <w:rsid w:val="094B3863"/>
    <w:rsid w:val="09BB4FB7"/>
    <w:rsid w:val="0DB24C72"/>
    <w:rsid w:val="0DD759F4"/>
    <w:rsid w:val="0F207965"/>
    <w:rsid w:val="13B80076"/>
    <w:rsid w:val="13E62E35"/>
    <w:rsid w:val="14EF06F6"/>
    <w:rsid w:val="19F747BA"/>
    <w:rsid w:val="1A1A5DD2"/>
    <w:rsid w:val="1A51364F"/>
    <w:rsid w:val="1AF05866"/>
    <w:rsid w:val="1E696309"/>
    <w:rsid w:val="1F136AA8"/>
    <w:rsid w:val="2053578C"/>
    <w:rsid w:val="21E31EE2"/>
    <w:rsid w:val="224A55CB"/>
    <w:rsid w:val="25DC5E46"/>
    <w:rsid w:val="278953A3"/>
    <w:rsid w:val="2929534F"/>
    <w:rsid w:val="2BF00744"/>
    <w:rsid w:val="2C3B7059"/>
    <w:rsid w:val="2DFB406F"/>
    <w:rsid w:val="2E450D6E"/>
    <w:rsid w:val="30F445E1"/>
    <w:rsid w:val="32062834"/>
    <w:rsid w:val="35972A85"/>
    <w:rsid w:val="35FC7E3E"/>
    <w:rsid w:val="36153997"/>
    <w:rsid w:val="36911CE7"/>
    <w:rsid w:val="37283058"/>
    <w:rsid w:val="37BF6A7B"/>
    <w:rsid w:val="381912C4"/>
    <w:rsid w:val="3AAA3936"/>
    <w:rsid w:val="3B791858"/>
    <w:rsid w:val="3C04482D"/>
    <w:rsid w:val="3C5724DC"/>
    <w:rsid w:val="3DB8735D"/>
    <w:rsid w:val="3EFB760D"/>
    <w:rsid w:val="400131E3"/>
    <w:rsid w:val="403748CC"/>
    <w:rsid w:val="41831BE9"/>
    <w:rsid w:val="44BA514C"/>
    <w:rsid w:val="45473785"/>
    <w:rsid w:val="45763769"/>
    <w:rsid w:val="45E37EBF"/>
    <w:rsid w:val="46BD28C6"/>
    <w:rsid w:val="48BF44EB"/>
    <w:rsid w:val="4B21657D"/>
    <w:rsid w:val="4B3149DB"/>
    <w:rsid w:val="4B560A3D"/>
    <w:rsid w:val="4BDF4E71"/>
    <w:rsid w:val="4C22343F"/>
    <w:rsid w:val="4C72630D"/>
    <w:rsid w:val="508036FB"/>
    <w:rsid w:val="50834975"/>
    <w:rsid w:val="509413EB"/>
    <w:rsid w:val="50F3182D"/>
    <w:rsid w:val="5233759F"/>
    <w:rsid w:val="523D01FF"/>
    <w:rsid w:val="531A47AB"/>
    <w:rsid w:val="53562642"/>
    <w:rsid w:val="57F2715C"/>
    <w:rsid w:val="584C23CD"/>
    <w:rsid w:val="5AAF7AC9"/>
    <w:rsid w:val="5C911059"/>
    <w:rsid w:val="5CCE63AA"/>
    <w:rsid w:val="5DAB25D9"/>
    <w:rsid w:val="6004268F"/>
    <w:rsid w:val="603B2849"/>
    <w:rsid w:val="63D6054F"/>
    <w:rsid w:val="65425FF6"/>
    <w:rsid w:val="660C0899"/>
    <w:rsid w:val="663C1D0B"/>
    <w:rsid w:val="68E2489D"/>
    <w:rsid w:val="692E3F76"/>
    <w:rsid w:val="69881695"/>
    <w:rsid w:val="6A3521BF"/>
    <w:rsid w:val="6A3D40D1"/>
    <w:rsid w:val="6B291B28"/>
    <w:rsid w:val="6BF20B4C"/>
    <w:rsid w:val="6E761971"/>
    <w:rsid w:val="6F3A7F32"/>
    <w:rsid w:val="6F971D37"/>
    <w:rsid w:val="6FC01CEA"/>
    <w:rsid w:val="72CF7BE5"/>
    <w:rsid w:val="73272CFD"/>
    <w:rsid w:val="736E3CDB"/>
    <w:rsid w:val="7377799E"/>
    <w:rsid w:val="777C16D9"/>
    <w:rsid w:val="7A3031E0"/>
    <w:rsid w:val="7C875015"/>
    <w:rsid w:val="7E2A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 w:type="paragraph" w:customStyle="1" w:styleId="30">
    <w:name w:val="试卷-题型-标题"/>
    <w:basedOn w:val="1"/>
    <w:qFormat/>
    <w:uiPriority w:val="0"/>
    <w:pPr>
      <w:spacing w:line="360" w:lineRule="auto"/>
    </w:pPr>
    <w:rPr>
      <w:rFonts w:ascii="Times New Roman" w:hAnsi="黑体" w:eastAsia="黑体" w:cs="Times New Roman"/>
      <w:b/>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3202</Words>
  <Characters>3385</Characters>
  <Lines>33</Lines>
  <Paragraphs>9</Paragraphs>
  <TotalTime>2</TotalTime>
  <ScaleCrop>false</ScaleCrop>
  <LinksUpToDate>false</LinksUpToDate>
  <CharactersWithSpaces>3916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2025-03-11T07:05:20Z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