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ind w:left="562" w:hanging="562"/>
      </w:pPr>
      <w:bookmarkStart w:id="1" w:name="_GoBack"/>
      <w:bookmarkStart w:id="0" w:name="_Toc171233572"/>
      <w:r>
        <w:rPr>
          <w:rFonts w:hint="eastAsia"/>
        </w:rPr>
        <w:t>专题强化1：</w:t>
      </w:r>
      <w:r>
        <w:t>交变电流</w:t>
      </w:r>
      <w:r>
        <w:rPr>
          <w:rFonts w:hint="eastAsia"/>
        </w:rPr>
        <w:t>规律的应用</w:t>
      </w:r>
      <w:bookmarkEnd w:id="0"/>
    </w:p>
    <w:bookmarkEnd w:id="1"/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ind w:left="105" w:leftChars="50" w:firstLine="120" w:firstLineChars="5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2025-2-19</w:t>
      </w:r>
    </w:p>
    <w:p>
      <w:pPr>
        <w:snapToGrid w:val="0"/>
      </w:pPr>
      <w:r>
        <w:rPr>
          <w:rFonts w:hint="eastAsia"/>
        </w:rPr>
        <w:t>本课在课程标准中的表述：知道描述</w:t>
      </w:r>
      <w:r>
        <w:t>交变电流的</w:t>
      </w:r>
      <w:r>
        <w:rPr>
          <w:rFonts w:hint="eastAsia"/>
        </w:rPr>
        <w:t>物理量，</w:t>
      </w:r>
      <w:r>
        <w:t>理解正弦式交变电流的公式和图像．</w:t>
      </w:r>
    </w:p>
    <w:p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t>1．</w:t>
      </w:r>
      <w:r>
        <w:rPr>
          <w:rFonts w:ascii="Times New Roman" w:hAnsi="Times New Roman" w:cs="Times New Roman"/>
        </w:rPr>
        <w:t>进一步理解交变电流的规律和图像的物理意义</w:t>
      </w:r>
      <w: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t>．</w:t>
      </w:r>
      <w:r>
        <w:rPr>
          <w:rFonts w:ascii="Times New Roman" w:hAnsi="Times New Roman" w:cs="Times New Roman"/>
        </w:rPr>
        <w:t>知道交变电流峰值、瞬时值、有效值、平均值的区别，并会进行有关计算．</w:t>
      </w: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一、交变电流图像的应用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正弦式交变电流的图像是一条正弦曲线，从图像中可以得到以下信息：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(1)周期(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)、频率(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)和角速度(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)：线圈转动的频率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\f(2π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(2)峰值(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)：图像上的最大值．可计算出有效值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\r(2))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\r(2))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(3)瞬时值：每个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表示某一时刻的瞬时值．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(4)可确定线圈平面位于中性面的时刻，也可确定线圈平面平行于磁感线的时刻．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(5)可判断线圈中磁通量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及磁通量变化率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Φ,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的变化情况．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67945</wp:posOffset>
            </wp:positionV>
            <wp:extent cx="1190625" cy="647700"/>
            <wp:effectExtent l="19050" t="0" r="9525" b="0"/>
            <wp:wrapSquare wrapText="bothSides"/>
            <wp:docPr id="146" name="图片 595" descr="H:\教学资料\新人教\选择性必修第二册\步步高选择性必修二\学生用书Word版文档\学习笔记\第三章\S2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595" descr="H:\教学资料\新人教\选择性必修第二册\步步高选择性必修二\学生用书Word版文档\学习笔记\第三章\S2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1：</w:t>
      </w:r>
      <w:r>
        <w:rPr>
          <w:rFonts w:ascii="Times New Roman" w:hAnsi="Times New Roman" w:cs="Times New Roman"/>
        </w:rPr>
        <w:t>一台发电机产生的交变电流的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图像如图所示，该交变电流(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A．周期是0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 s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B．电动势有效值为155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V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 s时，线圈平面与中性面重合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 s时，穿过线圈的磁通量变化率最大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549910</wp:posOffset>
            </wp:positionV>
            <wp:extent cx="2059305" cy="819150"/>
            <wp:effectExtent l="19050" t="0" r="0" b="0"/>
            <wp:wrapSquare wrapText="bothSides"/>
            <wp:docPr id="147" name="图片 599" descr="H:\教学资料\新人教\选择性必修第二册\步步高选择性必修二\学生用书Word版文档\学习笔记\第三章\3-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599" descr="H:\教学资料\新人教\选择性必修第二册\步步高选择性必修二\学生用书Word版文档\学习笔记\第三章\3-6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2：</w:t>
      </w:r>
      <w:r>
        <w:rPr>
          <w:rFonts w:ascii="Times New Roman" w:hAnsi="Times New Roman" w:cs="Times New Roman"/>
        </w:rPr>
        <w:t>图甲是小型交流发电机的示意图，两磁极N、S间的磁场可视为水平方向的匀强磁场，</w:t>
      </w:r>
      <w:r>
        <w:rPr>
          <w:rFonts w:ascii="Times New Roman" w:hAnsi="Times New Roman" w:cs="Times New Roman"/>
        </w:rPr>
        <w:drawing>
          <wp:inline distT="0" distB="0" distL="0" distR="0">
            <wp:extent cx="155575" cy="155575"/>
            <wp:effectExtent l="19050" t="0" r="0" b="0"/>
            <wp:docPr id="148" name="图片 598" descr="H:\教学资料\新人教\选择性必修第二册\步步高选择性必修二\学生用书Word版文档\学习笔记\第三章\圈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598" descr="H:\教学资料\新人教\选择性必修第二册\步步高选择性必修二\学生用书Word版文档\学习笔记\第三章\圈A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为理想交流电流表．线圈绕垂直于磁场且与线圈共面的水平轴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匀速转动，从图示位置开始计时，产生的交变电流随时间变化的图像如图乙所示．下列判断正确的是(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A．线圈转动的转速为25 r/s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B．理想电流表的示数为10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 s内线圈中电流的方向改变50次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 s时线圈平面与中性面重合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二、交变电流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四值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的比较及应用</w:t>
      </w:r>
    </w:p>
    <w:tbl>
      <w:tblPr>
        <w:tblStyle w:val="16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84"/>
        <w:gridCol w:w="283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物理含义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重要关系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瞬时值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交变电流某一时刻的值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电流为正弦式交变电流时：</w:t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 xml:space="preserve">sin </w:t>
            </w:r>
            <w:r>
              <w:rPr>
                <w:rFonts w:ascii="Times New Roman" w:hAnsi="Times New Roman" w:cs="Times New Roman"/>
                <w:i/>
              </w:rPr>
              <w:t xml:space="preserve">ωt </w:t>
            </w:r>
            <w:r>
              <w:rPr>
                <w:rFonts w:hint="eastAsia"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 xml:space="preserve">sin </w:t>
            </w:r>
            <w:r>
              <w:rPr>
                <w:rFonts w:ascii="Times New Roman" w:hAnsi="Times New Roman" w:cs="Times New Roman"/>
                <w:i/>
              </w:rPr>
              <w:t>ωt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分析交变电流在某一时刻的情况，如计算某一时刻线圈受到的安培力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最大值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最大的瞬时值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 xml:space="preserve">NωBS </w:t>
            </w:r>
            <w:r>
              <w:rPr>
                <w:rFonts w:hint="eastAsia"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E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m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电容器的击穿电压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有效值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跟交变电流的热效应等效的恒定电流值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电流为正弦式交变电流时：</w:t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E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m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\r(2))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m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\r(2))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m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\r(2))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(1)计算与电流热效应相关的量</w:t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(2)交流电表的测量值</w:t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(3)设备标注的额定电压、额定电流</w:t>
            </w:r>
            <w:r>
              <w:rPr>
                <w:rFonts w:hint="eastAsia"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(4)保险丝的熔断电流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平均值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交变电流图像中图线与时间轴所围面积与时间的比值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\x\to(</w:instrText>
            </w:r>
            <w:r>
              <w:rPr>
                <w:rFonts w:ascii="Times New Roman" w:hAnsi="Times New Roman" w:cs="Times New Roman"/>
                <w:i/>
              </w:rPr>
              <w:instrText xml:space="preserve">E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\f(Δ</w:instrText>
            </w:r>
            <w:r>
              <w:rPr>
                <w:rFonts w:ascii="Times New Roman" w:hAnsi="Times New Roman" w:cs="Times New Roman"/>
                <w:i/>
              </w:rPr>
              <w:instrText xml:space="preserve">Φ,</w:instrText>
            </w:r>
            <w:r>
              <w:rPr>
                <w:rFonts w:ascii="Times New Roman" w:hAnsi="Times New Roman" w:cs="Times New Roman"/>
              </w:rPr>
              <w:instrText xml:space="preserve">Δ</w:instrText>
            </w:r>
            <w:r>
              <w:rPr>
                <w:rFonts w:ascii="Times New Roman" w:hAnsi="Times New Roman" w:cs="Times New Roman"/>
                <w:i/>
              </w:rPr>
              <w:instrText xml:space="preserve">t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\x\to(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\f(\x\to(</w:instrText>
            </w:r>
            <w:r>
              <w:rPr>
                <w:rFonts w:ascii="Times New Roman" w:hAnsi="Times New Roman" w:cs="Times New Roman"/>
                <w:i/>
              </w:rPr>
              <w:instrText xml:space="preserve">E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计算通过电路横截面的电荷量</w:t>
            </w:r>
          </w:p>
          <w:p>
            <w:pPr>
              <w:pStyle w:val="10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\x\to(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\f(Δ</w:instrText>
            </w:r>
            <w:r>
              <w:rPr>
                <w:rFonts w:ascii="Times New Roman" w:hAnsi="Times New Roman" w:cs="Times New Roman"/>
                <w:i/>
              </w:rPr>
              <w:instrText xml:space="preserve">Φ,R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3：</w:t>
      </w:r>
      <w:r>
        <w:rPr>
          <w:rFonts w:ascii="Times New Roman" w:hAnsi="Times New Roman" w:cs="Times New Roman"/>
        </w:rPr>
        <w:t>如图所示，正方形线圈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绕对称轴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在匀强磁场中匀速转动，转速为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r/s，已知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＝20 cm，匝数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＝100，磁感应强度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 T，图示位置线圈平面与磁感线平行．闭合回路中线圈的电阻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＝4 Ω，外电阻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＝12 Ω．求：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(1)从图示位置开始计时，写出感应电流的瞬时值表达式和交流电压表的示数；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(2)从图示位置转过90°过程中外力对发电机所做的功；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(3)从图示位置转过90°过程中通过线圈横截面的电荷量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81735" cy="1190625"/>
            <wp:effectExtent l="19050" t="0" r="0" b="0"/>
            <wp:docPr id="149" name="图片 602" descr="H:\教学资料\新人教\选择性必修第二册\步步高选择性必修二\学生用书Word版文档\学习笔记\第三章\X3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602" descr="H:\教学资料\新人教\选择性必修第二册\步步高选择性必修二\学生用书Word版文档\学习笔记\第三章\X3-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</w:t>
      </w:r>
      <w:r>
        <w:rPr>
          <w:rFonts w:hint="eastAsia"/>
          <w:b/>
          <w:bCs/>
        </w:rPr>
        <w:t>：</w:t>
      </w:r>
      <w:r>
        <w:rPr>
          <w:rFonts w:ascii="Times New Roman" w:hAnsi="Times New Roman" w:cs="Times New Roman"/>
        </w:rPr>
        <w:t>如图所示，矩形线圈面积为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，匝数为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，线圈电阻为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的匀强磁场中绕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轴以角速度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匀速转动，外电路电阻为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(1)当线圈由图示位置转过60°的过程中，理想电压表的读数；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(2)当线圈由图示位置转过60°时，电流的瞬时值；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(3)当线圈由图示位置转过60°的过程中，通过电阻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(4)若线圈由图示位置转过90°，这个过程中电阻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所产生的焦耳热．</w:t>
      </w: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  <w:r>
        <w:drawing>
          <wp:inline distT="0" distB="0" distL="0" distR="0">
            <wp:extent cx="1087120" cy="1449070"/>
            <wp:effectExtent l="19050" t="0" r="0" b="0"/>
            <wp:docPr id="150" name="图片 603" descr="H:\教学资料\新人教\选择性必修第二册\步步高选择性必修二\学生用书Word版文档\学习笔记\第三章\s2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603" descr="H:\教学资料\新人教\选择性必修第二册\步步高选择性必修二\学生用书Word版文档\学习笔记\第三章\s21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jc w:val="right"/>
        <w:rPr>
          <w:rFonts w:ascii="黑体" w:hAnsi="黑体" w:eastAsia="黑体"/>
          <w:b/>
          <w:bCs/>
          <w:sz w:val="24"/>
        </w:rPr>
      </w:pPr>
    </w:p>
    <w:p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ind w:left="482" w:hanging="482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23AB"/>
    <w:rsid w:val="0003556D"/>
    <w:rsid w:val="00051C63"/>
    <w:rsid w:val="00084986"/>
    <w:rsid w:val="000B1B04"/>
    <w:rsid w:val="001146D3"/>
    <w:rsid w:val="00146EE5"/>
    <w:rsid w:val="00153A80"/>
    <w:rsid w:val="00157765"/>
    <w:rsid w:val="00165BBE"/>
    <w:rsid w:val="001774F8"/>
    <w:rsid w:val="00184759"/>
    <w:rsid w:val="001977D3"/>
    <w:rsid w:val="001A4684"/>
    <w:rsid w:val="001C539F"/>
    <w:rsid w:val="001D2D45"/>
    <w:rsid w:val="001E39E2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152F7"/>
    <w:rsid w:val="00375C50"/>
    <w:rsid w:val="00393734"/>
    <w:rsid w:val="003C6042"/>
    <w:rsid w:val="00407F6C"/>
    <w:rsid w:val="00436ED3"/>
    <w:rsid w:val="004376A2"/>
    <w:rsid w:val="00442D8C"/>
    <w:rsid w:val="00457151"/>
    <w:rsid w:val="00486206"/>
    <w:rsid w:val="004A112D"/>
    <w:rsid w:val="00524C3C"/>
    <w:rsid w:val="005252ED"/>
    <w:rsid w:val="005436BF"/>
    <w:rsid w:val="00555068"/>
    <w:rsid w:val="00556F6F"/>
    <w:rsid w:val="00561A66"/>
    <w:rsid w:val="005671A2"/>
    <w:rsid w:val="005762F0"/>
    <w:rsid w:val="005B5CA7"/>
    <w:rsid w:val="005D1251"/>
    <w:rsid w:val="005E3626"/>
    <w:rsid w:val="00611D25"/>
    <w:rsid w:val="00614921"/>
    <w:rsid w:val="00636C13"/>
    <w:rsid w:val="006D0EE8"/>
    <w:rsid w:val="006D6699"/>
    <w:rsid w:val="00703DC9"/>
    <w:rsid w:val="007102C9"/>
    <w:rsid w:val="00716D8A"/>
    <w:rsid w:val="00723BAC"/>
    <w:rsid w:val="00753D65"/>
    <w:rsid w:val="00797316"/>
    <w:rsid w:val="007C756D"/>
    <w:rsid w:val="0080038F"/>
    <w:rsid w:val="00811F09"/>
    <w:rsid w:val="008129A4"/>
    <w:rsid w:val="00843DFC"/>
    <w:rsid w:val="00864AB8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4726C"/>
    <w:rsid w:val="00AB057E"/>
    <w:rsid w:val="00AB47F8"/>
    <w:rsid w:val="00B30809"/>
    <w:rsid w:val="00B4332D"/>
    <w:rsid w:val="00B46E6A"/>
    <w:rsid w:val="00B47BFC"/>
    <w:rsid w:val="00B5645E"/>
    <w:rsid w:val="00B71D1C"/>
    <w:rsid w:val="00B90A0D"/>
    <w:rsid w:val="00BA28BE"/>
    <w:rsid w:val="00BD05DB"/>
    <w:rsid w:val="00BF065A"/>
    <w:rsid w:val="00BF6765"/>
    <w:rsid w:val="00C0083D"/>
    <w:rsid w:val="00C00EEC"/>
    <w:rsid w:val="00C56339"/>
    <w:rsid w:val="00C61136"/>
    <w:rsid w:val="00C8022B"/>
    <w:rsid w:val="00CB6F7F"/>
    <w:rsid w:val="00D1382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F00559"/>
    <w:rsid w:val="00F34D59"/>
    <w:rsid w:val="00F429B4"/>
    <w:rsid w:val="00F473F6"/>
    <w:rsid w:val="00F64C11"/>
    <w:rsid w:val="00F66619"/>
    <w:rsid w:val="00FA2973"/>
    <w:rsid w:val="00FD0672"/>
    <w:rsid w:val="00FE088D"/>
    <w:rsid w:val="07C110B7"/>
    <w:rsid w:val="0C084E1D"/>
    <w:rsid w:val="0D79630B"/>
    <w:rsid w:val="4CBB10C4"/>
    <w:rsid w:val="55CB491B"/>
    <w:rsid w:val="5D7C12EC"/>
    <w:rsid w:val="603567AE"/>
    <w:rsid w:val="62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5512-DC0D-4D37-A2EF-EC3D21CDF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7880</Words>
  <Characters>9915</Characters>
  <Lines>29</Lines>
  <Paragraphs>22</Paragraphs>
  <TotalTime>1</TotalTime>
  <ScaleCrop>false</ScaleCrop>
  <LinksUpToDate>false</LinksUpToDate>
  <CharactersWithSpaces>10265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2025-03-06T08:01:03Z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