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5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11734800</wp:posOffset>
            </wp:positionV>
            <wp:extent cx="482600" cy="2794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江苏省2024年普通高中学业水平历史等级考试</w:t>
      </w:r>
    </w:p>
    <w:p>
      <w:pPr>
        <w:spacing w:line="285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一、选择题（本大题共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15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3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45</w:t>
      </w:r>
      <w:r>
        <w:rPr>
          <w:rFonts w:ascii="宋体" w:hAnsi="宋体" w:eastAsia="宋体" w:cs="宋体"/>
          <w:b/>
          <w:color w:val="auto"/>
          <w:sz w:val="24"/>
        </w:rPr>
        <w:t>分。在每小题给出的四个选项中，只有一项是最符合题目要求的）</w:t>
      </w:r>
    </w:p>
    <w:p>
      <w:pPr>
        <w:spacing w:line="360" w:lineRule="auto"/>
        <w:jc w:val="both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毛家坪遗址是自西周晚期延续到战国晚期的秦文化遗址，在该遗址中发现大量炭化的苜蓿属植物种子和马的骨骼。有学者依据《史记》中秦人先祖“好马及畜，善养息之”的记载，认为上述苜蓿属植物与秦人养马有关。该学者的研究可以说明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西周晚期出现原始农耕和畜牧</w:t>
      </w:r>
      <w:r>
        <w:rPr>
          <w:rFonts w:hint="eastAsia" w:ascii="宋体" w:hAnsi="宋体" w:cs="宋体"/>
          <w:color w:val="auto"/>
          <w:lang w:val="en-US" w:eastAsia="zh-CN"/>
        </w:rPr>
        <w:t xml:space="preserve">                 </w:t>
      </w:r>
      <w:r>
        <w:t xml:space="preserve">B. </w:t>
      </w:r>
      <w:r>
        <w:rPr>
          <w:rFonts w:ascii="宋体" w:hAnsi="宋体" w:eastAsia="宋体" w:cs="宋体"/>
          <w:color w:val="auto"/>
        </w:rPr>
        <w:t>探究历史要重视史料间</w:t>
      </w:r>
      <w:r>
        <w:rPr>
          <w:rFonts w:ascii="宋体" w:hAnsi="宋体" w:eastAsia="宋体" w:cs="宋体"/>
          <w:color w:val="auto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auto"/>
        </w:rPr>
        <w:t>联系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秦人即将迈入阶级社会的门槛</w:t>
      </w:r>
      <w:r>
        <w:rPr>
          <w:rFonts w:hint="eastAsia" w:ascii="宋体" w:hAnsi="宋体" w:cs="宋体"/>
          <w:color w:val="auto"/>
          <w:lang w:val="en-US" w:eastAsia="zh-CN"/>
        </w:rPr>
        <w:t xml:space="preserve">                 </w:t>
      </w:r>
      <w:r>
        <w:t xml:space="preserve">D. </w:t>
      </w:r>
      <w:r>
        <w:rPr>
          <w:rFonts w:ascii="宋体" w:hAnsi="宋体" w:eastAsia="宋体" w:cs="宋体"/>
          <w:color w:val="auto"/>
        </w:rPr>
        <w:t>实物史料比文献史料更有价值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魏晋南北朝时期，传统儒学受到佛教、道教的挑战，但世家大族依然尊奉儒家思想，并以儒家经学为家学的核心内容，形成了以南朝会稽贺氏、北朝范阳卢氏为代表的经学世家。这一时期经学世家的形成（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源于北方士族南迁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影响南北方政权频繁更替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有利于儒学的复兴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导致“三教合归儒”的局面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3. 下表为宋神宗熙宁年间（1068—1077）常平仓的部分支出情况。这些支出反映了北宋政府（    ）</w:t>
      </w:r>
    </w:p>
    <w:tbl>
      <w:tblPr>
        <w:tblStyle w:val="4"/>
        <w:tblW w:w="0" w:type="auto"/>
        <w:tblInd w:w="2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000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05" w:hRule="atLeast"/>
        </w:trPr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873"/>
              </w:tabs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时间</w:t>
            </w:r>
          </w:p>
        </w:tc>
        <w:tc>
          <w:tcPr>
            <w:tcW w:w="3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873"/>
              </w:tabs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支出及用途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05" w:hRule="atLeast"/>
        </w:trPr>
        <w:tc>
          <w:tcPr>
            <w:tcW w:w="2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873"/>
              </w:tabs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熙宁六年十一月</w:t>
            </w:r>
          </w:p>
        </w:tc>
        <w:tc>
          <w:tcPr>
            <w:tcW w:w="3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873"/>
              </w:tabs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3万石谷，淮南西路招募饥民兴修水利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05" w:hRule="atLeast"/>
        </w:trPr>
        <w:tc>
          <w:tcPr>
            <w:tcW w:w="2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873"/>
              </w:tabs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熙宁七年五月</w:t>
            </w:r>
          </w:p>
        </w:tc>
        <w:tc>
          <w:tcPr>
            <w:tcW w:w="3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873"/>
              </w:tabs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5万石谷，真定府路减价出粜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20" w:hRule="atLeast"/>
        </w:trPr>
        <w:tc>
          <w:tcPr>
            <w:tcW w:w="20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4873"/>
              </w:tabs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熙宁九年二月</w:t>
            </w:r>
          </w:p>
        </w:tc>
        <w:tc>
          <w:tcPr>
            <w:tcW w:w="3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tabs>
                <w:tab w:val="left" w:pos="2520"/>
                <w:tab w:val="left" w:pos="4873"/>
              </w:tabs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10万缗钱，广南西路转运司以备军需</w:t>
            </w:r>
          </w:p>
        </w:tc>
      </w:tr>
    </w:tbl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A. 力图发展农业平抑物价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>B. 运用经济手段稳定秩序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C. 鼓励民间组织救济灾民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>D. 增加军费缓解边防压力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据广东《博罗县志》记载，明嘉靖、隆庆年间，该县出现源自乡约的“约”字地名，如安山约、大连约等，一约辖一村或数村。知县往往“慎择乡约之长”</w:t>
      </w:r>
      <w:r>
        <w:rPr>
          <w:rFonts w:hint="eastAsia" w:cs="Times New Roman"/>
          <w:color w:val="000000"/>
          <w:lang w:eastAsia="zh-CN"/>
        </w:rPr>
        <w:t>，</w:t>
      </w:r>
      <w:r>
        <w:rPr>
          <w:rFonts w:ascii="宋体" w:hAnsi="宋体" w:eastAsia="宋体" w:cs="宋体"/>
          <w:color w:val="000000"/>
        </w:rPr>
        <w:t>让其宣讲“高皇帝之六训”</w:t>
      </w:r>
      <w:r>
        <w:rPr>
          <w:rFonts w:hint="eastAsia" w:cs="Times New Roman"/>
          <w:color w:val="000000"/>
          <w:lang w:eastAsia="zh-CN"/>
        </w:rPr>
        <w:t>，</w:t>
      </w:r>
      <w:r>
        <w:rPr>
          <w:rFonts w:ascii="宋体" w:hAnsi="宋体" w:eastAsia="宋体" w:cs="宋体"/>
          <w:color w:val="000000"/>
        </w:rPr>
        <w:t>负责当地保卫事宜。这一记载反映出该县（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乡约与法律合流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注重对农民的军事训练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保甲制形同虚设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重视对基层社会的治理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3354705</wp:posOffset>
            </wp:positionH>
            <wp:positionV relativeFrom="paragraph">
              <wp:posOffset>29845</wp:posOffset>
            </wp:positionV>
            <wp:extent cx="2520950" cy="1517015"/>
            <wp:effectExtent l="0" t="0" r="6350" b="0"/>
            <wp:wrapTight wrapText="bothSides">
              <wp:wrapPolygon>
                <wp:start x="0" y="0"/>
                <wp:lineTo x="0" y="21338"/>
                <wp:lineTo x="21546" y="21338"/>
                <wp:lineTo x="21546" y="0"/>
                <wp:lineTo x="0" y="0"/>
              </wp:wrapPolygon>
            </wp:wrapTight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如图为唐代至清代扬州城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变迁图。据此可知（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城市中心区域不断扩大</w:t>
      </w:r>
      <w:r>
        <w:rPr>
          <w:color w:val="000000"/>
        </w:rPr>
        <w:tab/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运河漕运影响城市发展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城市功能分区日趋明显</w:t>
      </w:r>
      <w:r>
        <w:rPr>
          <w:color w:val="000000"/>
        </w:rPr>
        <w:tab/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内河河道交错密布全城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Times New Roman" w:hAnsi="Times New Roman" w:eastAsia="Times New Roman" w:cs="Times New Roman"/>
          <w:color w:val="000000"/>
        </w:rPr>
        <w:t>1850</w:t>
      </w:r>
      <w:r>
        <w:rPr>
          <w:rFonts w:ascii="宋体" w:hAnsi="宋体" w:eastAsia="宋体" w:cs="宋体"/>
          <w:color w:val="000000"/>
        </w:rPr>
        <w:t>年，上海出现第一家专营进口棉布的商店，到</w:t>
      </w:r>
      <w:r>
        <w:rPr>
          <w:rFonts w:ascii="Times New Roman" w:hAnsi="Times New Roman" w:eastAsia="Times New Roman" w:cs="Times New Roman"/>
          <w:color w:val="000000"/>
        </w:rPr>
        <w:t>1858</w:t>
      </w:r>
      <w:r>
        <w:rPr>
          <w:rFonts w:ascii="宋体" w:hAnsi="宋体" w:eastAsia="宋体" w:cs="宋体"/>
          <w:color w:val="000000"/>
        </w:rPr>
        <w:t>年这类洋布店已有十五六家，以门市零售为主。</w:t>
      </w:r>
      <w:r>
        <w:rPr>
          <w:rFonts w:ascii="Times New Roman" w:hAnsi="Times New Roman" w:eastAsia="Times New Roman" w:cs="Times New Roman"/>
          <w:color w:val="000000"/>
        </w:rPr>
        <w:t>1860</w:t>
      </w:r>
      <w:r>
        <w:rPr>
          <w:rFonts w:ascii="宋体" w:hAnsi="宋体" w:eastAsia="宋体" w:cs="宋体"/>
          <w:color w:val="000000"/>
        </w:rPr>
        <w:t>年以后，内地商人纷纷到上海采购，上海洋布店转向以批发为主，实力大增。上海洋布店的发展反映出（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政府鼓励兴办实业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外来经济因素逐渐渗入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内地棉纺织业发达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民族资本主义快速发展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Times New Roman" w:hAnsi="Times New Roman" w:eastAsia="Times New Roman" w:cs="Times New Roman"/>
          <w:color w:val="000000"/>
        </w:rPr>
        <w:t>1924</w:t>
      </w:r>
      <w:r>
        <w:rPr>
          <w:rFonts w:ascii="宋体" w:hAnsi="宋体" w:eastAsia="宋体" w:cs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月，周恩来等人决定，将旅欧共产主义青年团在巴黎创办的机关刊物改名为《赤光》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宋体" w:hAnsi="宋体" w:eastAsia="宋体" w:cs="宋体"/>
          <w:color w:val="000000"/>
        </w:rPr>
        <w:t>并在改刊宣言中强调：“我们所认定的唯一目标便是：反军阀政府的联合，反帝国主义的国际联合。”他们这样做是为了（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策应国内革命形势的发展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拓宽马克思主义的传播途径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促成革命统一战线的建立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探索独立开展武装斗争的道路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Times New Roman" w:hAnsi="Times New Roman" w:eastAsia="Times New Roman" w:cs="Times New Roman"/>
          <w:color w:val="000000"/>
        </w:rPr>
        <w:t>1948</w:t>
      </w:r>
      <w:r>
        <w:rPr>
          <w:rFonts w:ascii="宋体" w:hAnsi="宋体" w:eastAsia="宋体" w:cs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12</w:t>
      </w:r>
      <w:r>
        <w:rPr>
          <w:rFonts w:ascii="宋体" w:hAnsi="宋体" w:eastAsia="宋体" w:cs="宋体"/>
          <w:color w:val="000000"/>
        </w:rPr>
        <w:t>月，毛泽东在审阅《新区图书出版发行暂行办法》时作出批示：“书籍与报纸不同，暂时除没收国民党书店以外，可一概放任，遇有反动书籍可个别进行干涉，暂时不必普遍立条例。”这一批示（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有利于保护解放区的文化设施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         </w:t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重在揭露国民党文化专制主义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合乎团结广大知识分子的需要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         </w:t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为发动战略反攻做好舆论准备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290830</wp:posOffset>
            </wp:positionV>
            <wp:extent cx="1670050" cy="1240155"/>
            <wp:effectExtent l="0" t="0" r="6350" b="4445"/>
            <wp:wrapTight wrapText="bothSides">
              <wp:wrapPolygon>
                <wp:start x="0" y="0"/>
                <wp:lineTo x="0" y="21456"/>
                <wp:lineTo x="21518" y="21456"/>
                <wp:lineTo x="21518" y="0"/>
                <wp:lineTo x="0" y="0"/>
              </wp:wrapPolygon>
            </wp:wrapTight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如图为陈奇峰</w:t>
      </w:r>
      <w:r>
        <w:rPr>
          <w:rFonts w:ascii="Times New Roman" w:hAnsi="Times New Roman" w:eastAsia="Times New Roman" w:cs="Times New Roman"/>
          <w:color w:val="000000"/>
        </w:rPr>
        <w:t>1951</w:t>
      </w:r>
      <w:r>
        <w:rPr>
          <w:rFonts w:ascii="宋体" w:hAnsi="宋体" w:eastAsia="宋体" w:cs="宋体"/>
          <w:color w:val="000000"/>
        </w:rPr>
        <w:t>年创作的漫画《不让盗窃分子破坏》。该画意在（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号召人民巩固新生政权</w:t>
      </w:r>
      <w:r>
        <w:rPr>
          <w:color w:val="000000"/>
        </w:rPr>
        <w:tab/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动员群众参加社会主义建设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抨击投机商人囤积居奇</w:t>
      </w:r>
      <w:r>
        <w:rPr>
          <w:color w:val="000000"/>
        </w:rPr>
        <w:tab/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倡导勤俭节约的社会新风尚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Times New Roman" w:hAnsi="Times New Roman" w:eastAsia="Times New Roman" w:cs="Times New Roman"/>
          <w:color w:val="000000"/>
        </w:rPr>
        <w:t>1980</w:t>
      </w:r>
      <w:r>
        <w:rPr>
          <w:rFonts w:ascii="宋体" w:hAnsi="宋体" w:eastAsia="宋体" w:cs="宋体"/>
          <w:color w:val="000000"/>
        </w:rPr>
        <w:t>年，攀枝花当地报纸发表《关心群众生活，为子孙后代造福》一文，表达了人民迫切希望喝到优质水的心声。南京大学地质系肖楠森教授闻讯后多次到当地勘查，利用他的“新构造控水理论”成功找到了地下水。难能可贵的是，他一生不畏艰难，为全国许多地方解决了饮用水问题。这反映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人民脱贫致富的愿望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科研成果助力三线建设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生态环境得到了改善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科学家至诚报国的情怀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据统计，</w:t>
      </w:r>
      <w:r>
        <w:rPr>
          <w:rFonts w:ascii="Times New Roman" w:hAnsi="Times New Roman" w:eastAsia="Times New Roman" w:cs="Times New Roman"/>
          <w:color w:val="000000"/>
        </w:rPr>
        <w:t>1774</w:t>
      </w:r>
      <w:r>
        <w:rPr>
          <w:rFonts w:ascii="宋体" w:hAnsi="宋体" w:eastAsia="宋体" w:cs="宋体"/>
          <w:color w:val="000000"/>
        </w:rPr>
        <w:t>年至</w:t>
      </w:r>
      <w:r>
        <w:rPr>
          <w:rFonts w:ascii="Times New Roman" w:hAnsi="Times New Roman" w:eastAsia="Times New Roman" w:cs="Times New Roman"/>
          <w:color w:val="000000"/>
        </w:rPr>
        <w:t>1852</w:t>
      </w:r>
      <w:r>
        <w:rPr>
          <w:rFonts w:ascii="宋体" w:hAnsi="宋体" w:eastAsia="宋体" w:cs="宋体"/>
          <w:color w:val="000000"/>
        </w:rPr>
        <w:t>年，日本翻译的欧洲医学、天文学等书籍达</w:t>
      </w:r>
      <w:r>
        <w:rPr>
          <w:rFonts w:ascii="Times New Roman" w:hAnsi="Times New Roman" w:eastAsia="Times New Roman" w:cs="Times New Roman"/>
          <w:color w:val="000000"/>
        </w:rPr>
        <w:t>470</w:t>
      </w:r>
      <w:r>
        <w:rPr>
          <w:rFonts w:ascii="宋体" w:hAnsi="宋体" w:eastAsia="宋体" w:cs="宋体"/>
          <w:color w:val="000000"/>
        </w:rPr>
        <w:t>余种，从事西洋书籍翻译的学者有</w:t>
      </w:r>
      <w:r>
        <w:rPr>
          <w:rFonts w:ascii="Times New Roman" w:hAnsi="Times New Roman" w:eastAsia="Times New Roman" w:cs="Times New Roman"/>
          <w:color w:val="000000"/>
        </w:rPr>
        <w:t>117</w:t>
      </w:r>
      <w:r>
        <w:rPr>
          <w:rFonts w:ascii="宋体" w:hAnsi="宋体" w:eastAsia="宋体" w:cs="宋体"/>
          <w:color w:val="000000"/>
        </w:rPr>
        <w:t>人，出现了以杉田玄白为代表的新派学者。当时“执政者虽亦关心西欧科学，但西学的输入及研究却以民间为主”。这一现象表明日本（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摒弃闭关锁国政策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全面吸纳西方近代文明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社会观念出现变化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政府推行“文明开化”政策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维也纳会议期间，奥地利首相梅特涅不惜糜费巨资，让两百多个参会代表终日沉溺于舞会、观剧、狩猎和游览中。时人讽刺“会议不是在进行而是在跳舞”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宋体" w:hAnsi="宋体" w:eastAsia="宋体" w:cs="宋体"/>
          <w:color w:val="000000"/>
        </w:rPr>
        <w:t>但少数几个强国的代表却经常缺席这些活动。这可以用来说明（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奥地利尊崇近代外交礼仪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全体一致的集体安全体制建立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梅特涅重视西方文化传统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大国主宰的国际协调机制形成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近代非洲文学以使用欧洲语言创作为主流。</w:t>
      </w:r>
      <w:r>
        <w:rPr>
          <w:rFonts w:ascii="Times New Roman" w:hAnsi="Times New Roman" w:eastAsia="Times New Roman" w:cs="Times New Roman"/>
          <w:color w:val="000000"/>
        </w:rPr>
        <w:t>19</w:t>
      </w:r>
      <w:r>
        <w:rPr>
          <w:rFonts w:ascii="宋体" w:hAnsi="宋体" w:eastAsia="宋体" w:cs="宋体"/>
          <w:color w:val="000000"/>
        </w:rPr>
        <w:t>世纪末，埃塞俄比亚政府鼓励作家使用阿姆哈拉语写作。</w:t>
      </w:r>
      <w:r>
        <w:rPr>
          <w:rFonts w:ascii="Times New Roman" w:hAnsi="Times New Roman" w:eastAsia="Times New Roman" w:cs="Times New Roman"/>
          <w:color w:val="000000"/>
        </w:rPr>
        <w:t>1908</w:t>
      </w:r>
      <w:r>
        <w:rPr>
          <w:rFonts w:ascii="宋体" w:hAnsi="宋体" w:eastAsia="宋体" w:cs="宋体"/>
          <w:color w:val="000000"/>
        </w:rPr>
        <w:t>年出版的《心血凝成的历史》成为阿姆哈拉语文学的标志性成果。到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 w:eastAsia="宋体" w:cs="宋体"/>
          <w:color w:val="000000"/>
        </w:rPr>
        <w:t>世纪</w:t>
      </w:r>
      <w:r>
        <w:rPr>
          <w:rFonts w:ascii="Times New Roman" w:hAnsi="Times New Roman" w:eastAsia="Times New Roman" w:cs="Times New Roman"/>
          <w:color w:val="000000"/>
        </w:rPr>
        <w:t>60</w:t>
      </w:r>
      <w:r>
        <w:rPr>
          <w:rFonts w:ascii="宋体" w:hAnsi="宋体" w:eastAsia="宋体" w:cs="宋体"/>
          <w:color w:val="000000"/>
        </w:rPr>
        <w:t>年代，埃塞俄比亚人以使用阿姆哈拉语为荣。据此可知，阿姆哈拉语的推广（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传承了西非的本土文明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发挥了反殖民文化的作用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促进了非洲大陆的统一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推动了世界多极化的发展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Times New Roman" w:hAnsi="Times New Roman" w:eastAsia="Times New Roman" w:cs="Times New Roman"/>
          <w:color w:val="000000"/>
        </w:rPr>
        <w:t>1930</w:t>
      </w:r>
      <w:r>
        <w:rPr>
          <w:rFonts w:ascii="宋体" w:hAnsi="宋体" w:eastAsia="宋体" w:cs="宋体"/>
          <w:color w:val="000000"/>
        </w:rPr>
        <w:t>年，苏联《共青团真理报》以“每个工人都需要强壮的肌肉和敏锐的眼睛”为题刊发文章，号召青年积极参加体育运动。在政府鼓励下，成千上万的苏联人学会了射击、游泳、滑雪、跳伞等运动技能。此时，苏联重视体育旨在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弥补技术人才的不足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冲破帝国主义的经济封锁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增强国家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综合国力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争取反法西斯战争的胜利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寒山子是唐代一个充满神奇色彩的诗人，长年在山洞中隐居避世。他写的诗流露出一种超尘脱俗的空灵感。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 w:eastAsia="宋体" w:cs="宋体"/>
          <w:color w:val="000000"/>
        </w:rPr>
        <w:t>世纪</w:t>
      </w:r>
      <w:r>
        <w:rPr>
          <w:rFonts w:ascii="Times New Roman" w:hAnsi="Times New Roman" w:eastAsia="Times New Roman" w:cs="Times New Roman"/>
          <w:color w:val="000000"/>
        </w:rPr>
        <w:t>50</w:t>
      </w:r>
      <w:r>
        <w:rPr>
          <w:rFonts w:ascii="宋体" w:hAnsi="宋体" w:eastAsia="宋体" w:cs="宋体"/>
          <w:color w:val="000000"/>
        </w:rPr>
        <w:t>年代，寒山子的诗被译成英文。至</w:t>
      </w:r>
      <w:r>
        <w:rPr>
          <w:rFonts w:ascii="Times New Roman" w:hAnsi="Times New Roman" w:eastAsia="Times New Roman" w:cs="Times New Roman"/>
          <w:color w:val="000000"/>
        </w:rPr>
        <w:t>60</w:t>
      </w:r>
      <w:r>
        <w:rPr>
          <w:rFonts w:ascii="宋体" w:hAnsi="宋体" w:eastAsia="宋体" w:cs="宋体"/>
          <w:color w:val="000000"/>
        </w:rPr>
        <w:t>年代，他的诗在美国受到一些蓄长发、光着脚的大学生欢迎，风靡一时，形成了“寒山热”。这反映出，当时美国（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青年认同中国生活方式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经济出现“滞胀”现象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政府调整对华外交政策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民众对社会现实的失望</w:t>
      </w:r>
    </w:p>
    <w:p>
      <w:pPr>
        <w:spacing w:line="285" w:lineRule="auto"/>
        <w:jc w:val="center"/>
        <w:textAlignment w:val="center"/>
        <w:rPr>
          <w:rFonts w:ascii="宋体" w:hAnsi="宋体" w:eastAsia="宋体" w:cs="宋体"/>
          <w:b/>
          <w:color w:val="000000"/>
          <w:sz w:val="24"/>
        </w:rPr>
      </w:pPr>
    </w:p>
    <w:p>
      <w:pPr>
        <w:spacing w:line="285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第Ⅱ卷（非选择题共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55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285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二、非选择题（本大题共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55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35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材料一毛瑟步枪是世界著名的枪械，由德国人威廉·毛瑟和保罗·毛瑟兄弟设计。</w:t>
      </w:r>
      <w:r>
        <w:rPr>
          <w:rFonts w:ascii="Times New Roman" w:hAnsi="Times New Roman" w:eastAsia="Times New Roman" w:cs="Times New Roman"/>
          <w:color w:val="000000"/>
        </w:rPr>
        <w:t>1869</w:t>
      </w:r>
      <w:r>
        <w:rPr>
          <w:rFonts w:ascii="楷体" w:hAnsi="楷体" w:eastAsia="楷体" w:cs="楷体"/>
          <w:color w:val="000000"/>
        </w:rPr>
        <w:t>年，他们建立公司生产枪支。两年后德国政府开始与毛瑟兄弟合作，用他们发明的直动式单发步枪装备军队。毛瑟兄弟后来对步枪进行了改进。</w:t>
      </w:r>
      <w:r>
        <w:rPr>
          <w:rFonts w:ascii="Times New Roman" w:hAnsi="Times New Roman" w:eastAsia="Times New Roman" w:cs="Times New Roman"/>
          <w:color w:val="000000"/>
        </w:rPr>
        <w:t>1888</w:t>
      </w:r>
      <w:r>
        <w:rPr>
          <w:rFonts w:ascii="楷体" w:hAnsi="楷体" w:eastAsia="楷体" w:cs="楷体"/>
          <w:color w:val="000000"/>
        </w:rPr>
        <w:t>年，保罗·毛瑟研制出发射无烟火药子弹的弹仓式步枪，并在枪管外加装套筒，弹头初速和射程都有增加。</w:t>
      </w:r>
      <w:r>
        <w:rPr>
          <w:rFonts w:ascii="Times New Roman" w:hAnsi="Times New Roman" w:eastAsia="Times New Roman" w:cs="Times New Roman"/>
          <w:color w:val="000000"/>
        </w:rPr>
        <w:t>1898</w:t>
      </w:r>
      <w:r>
        <w:rPr>
          <w:rFonts w:ascii="楷体" w:hAnsi="楷体" w:eastAsia="楷体" w:cs="楷体"/>
          <w:color w:val="000000"/>
        </w:rPr>
        <w:t>年，保罗·毛瑟研制了新的弹仓式步枪，各种性能都有较大提高。德国生产的毛瑟枪除满足国内扩军备战的需要外，还大量出口。</w:t>
      </w:r>
    </w:p>
    <w:p>
      <w:pPr>
        <w:spacing w:line="360" w:lineRule="auto"/>
        <w:ind w:firstLine="435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</w:t>
      </w:r>
      <w:r>
        <w:rPr>
          <w:rFonts w:ascii="Times New Roman" w:hAnsi="Times New Roman" w:eastAsia="Times New Roman" w:cs="Times New Roman"/>
          <w:color w:val="000000"/>
        </w:rPr>
        <w:t>[</w:t>
      </w:r>
      <w:r>
        <w:rPr>
          <w:rFonts w:ascii="楷体" w:hAnsi="楷体" w:eastAsia="楷体" w:cs="楷体"/>
          <w:color w:val="000000"/>
        </w:rPr>
        <w:t>美</w:t>
      </w:r>
      <w:r>
        <w:rPr>
          <w:rFonts w:ascii="Times New Roman" w:hAnsi="Times New Roman" w:eastAsia="Times New Roman" w:cs="Times New Roman"/>
          <w:color w:val="000000"/>
        </w:rPr>
        <w:t>]</w:t>
      </w:r>
      <w:r>
        <w:rPr>
          <w:rFonts w:ascii="楷体" w:hAnsi="楷体" w:eastAsia="楷体" w:cs="楷体"/>
          <w:color w:val="000000"/>
        </w:rPr>
        <w:t>罗伯特·</w:t>
      </w:r>
      <w:r>
        <w:rPr>
          <w:rFonts w:ascii="Times New Roman" w:hAnsi="Times New Roman" w:eastAsia="Times New Roman" w:cs="Times New Roman"/>
          <w:color w:val="000000"/>
        </w:rPr>
        <w:t>L.</w:t>
      </w:r>
      <w:r>
        <w:rPr>
          <w:rFonts w:ascii="楷体" w:hAnsi="楷体" w:eastAsia="楷体" w:cs="楷体"/>
          <w:color w:val="000000"/>
        </w:rPr>
        <w:t>奥康奈尔《兵器史》等</w:t>
      </w:r>
    </w:p>
    <w:p>
      <w:pPr>
        <w:spacing w:line="360" w:lineRule="auto"/>
        <w:ind w:firstLine="435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二抗日战争相持阶段，抗日根据地遭到封锁，武器供应严重不足。为此，中共中央指示，没有条件创造条件也要造武器，必须建立自己的兵工厂。随后，八路军军工局组织人员土法上马，制造出枪管钻床和防锈处理设备。没有造枪的钢材，就用沦陷区的铁路钢轨作材料。</w:t>
      </w:r>
      <w:r>
        <w:rPr>
          <w:rFonts w:ascii="Times New Roman" w:hAnsi="Times New Roman" w:eastAsia="Times New Roman" w:cs="Times New Roman"/>
          <w:color w:val="000000"/>
        </w:rPr>
        <w:t>1939</w:t>
      </w:r>
      <w:r>
        <w:rPr>
          <w:rFonts w:ascii="楷体" w:hAnsi="楷体" w:eastAsia="楷体" w:cs="楷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楷体" w:hAnsi="楷体" w:eastAsia="楷体" w:cs="楷体"/>
          <w:color w:val="000000"/>
        </w:rPr>
        <w:t>月，他们设计出无名氏马步枪，次年结合山地游击战特点，又加以改进设计出八一式马步枪。该型枪支重量轻、体积小、精准度高，且方便近身拼刺刀，成为抗日根据地生产的数量最多、使用最广、性能最好的制式步枪。</w:t>
      </w:r>
    </w:p>
    <w:p>
      <w:pPr>
        <w:spacing w:line="360" w:lineRule="auto"/>
        <w:ind w:firstLine="435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——摘编自薛幸福主编《革命根据地军工史料丛书·陕甘宁边区》等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据材料一概括毛瑟枪在研制技术上的创新之处，并结合所学知识，说明毛瑟枪研制的背景。</w:t>
      </w: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据材料一、二并结合所学知识，指出与毛瑟枪相比，八一式马步枪成功研制所面临的困难。</w:t>
      </w: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据材料二并结合所学知识，简析八一式马步枪研制的意义。</w:t>
      </w: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材料南诏古道是唐代云南地区的地方交通网。唐朝时西南各少数民族联合建立的南诏政权兴起，逐步统一了云南地区。开元二十六年（</w:t>
      </w:r>
      <w:r>
        <w:rPr>
          <w:rFonts w:ascii="Times New Roman" w:hAnsi="Times New Roman" w:eastAsia="Times New Roman" w:cs="Times New Roman"/>
          <w:color w:val="000000"/>
        </w:rPr>
        <w:t>738</w:t>
      </w:r>
      <w:r>
        <w:rPr>
          <w:rFonts w:ascii="楷体" w:hAnsi="楷体" w:eastAsia="楷体" w:cs="楷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,</w:t>
      </w:r>
      <w:r>
        <w:rPr>
          <w:rFonts w:ascii="楷体" w:hAnsi="楷体" w:eastAsia="楷体" w:cs="楷体"/>
          <w:color w:val="000000"/>
        </w:rPr>
        <w:t>唐玄宗册封南诏首领皮逻阁为云南王。作为中央治下的地方政权，南诏推崇儒家文化，学习和接受中原的生产技术，派遣大臣子弟入唐学习，参照唐朝的制度文化推行改革。南诏仿效唐制，大力发展交通，建成了通达四方的道路网，既通往中原，也连接了通往缅甸、印度的“西南丝绸之路”。通过南诏古道，中原的丝绸、布匹、铁器等货物源源不断地运往西南，海外的琉璃、宝石、翡翠等异域方物也输入国内，促进了我国西南地区与中原以及东南亚地区的经济文化交流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——摘编自潘岳等《中华民族共同体概论》等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据材料并结合所学知识，概括南诏古道修建的历史背景。</w:t>
      </w: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据材料并结合所学知识，说明南诏古道修建的影响。</w:t>
      </w: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35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</w:t>
      </w:r>
      <w:r>
        <w:rPr>
          <w:rFonts w:ascii="Times New Roman" w:hAnsi="Times New Roman" w:eastAsia="Times New Roman" w:cs="Times New Roman"/>
          <w:color w:val="000000"/>
        </w:rPr>
        <w:t xml:space="preserve">  </w:t>
      </w:r>
      <w:r>
        <w:rPr>
          <w:rFonts w:ascii="楷体" w:hAnsi="楷体" w:eastAsia="楷体" w:cs="楷体"/>
          <w:color w:val="000000"/>
        </w:rPr>
        <w:t>曾国藩于</w:t>
      </w:r>
      <w:r>
        <w:rPr>
          <w:rFonts w:ascii="Times New Roman" w:hAnsi="Times New Roman" w:eastAsia="Times New Roman" w:cs="Times New Roman"/>
          <w:color w:val="000000"/>
        </w:rPr>
        <w:t>1868</w:t>
      </w:r>
      <w:r>
        <w:rPr>
          <w:rFonts w:ascii="楷体" w:hAnsi="楷体" w:eastAsia="楷体" w:cs="楷体"/>
          <w:color w:val="000000"/>
        </w:rPr>
        <w:t>年出任直隶总督，半年后他对直隶官员进行考核，并向朝廷上奏。他认为对官员的考核，可以达到“奖劝所加，精神一振，观摩惕励，可渐跻循良之域”的效果。下表是根据他对部分官员的考核清单而编制。</w:t>
      </w:r>
    </w:p>
    <w:tbl>
      <w:tblPr>
        <w:tblStyle w:val="4"/>
        <w:tblW w:w="8760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90"/>
        <w:gridCol w:w="1380"/>
        <w:gridCol w:w="4260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20" w:hRule="atLeast"/>
        </w:trPr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姓名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身份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考核评语</w:t>
            </w:r>
          </w:p>
        </w:tc>
        <w:tc>
          <w:tcPr>
            <w:tcW w:w="2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处置建议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65" w:hRule="atLeast"/>
        </w:trPr>
        <w:tc>
          <w:tcPr>
            <w:tcW w:w="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萧履中</w:t>
            </w:r>
          </w:p>
        </w:tc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南路厅同知</w:t>
            </w:r>
          </w:p>
        </w:tc>
        <w:tc>
          <w:tcPr>
            <w:tcW w:w="4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论事轩爽，能耐劳苦，处处以体恤民情为务</w:t>
            </w:r>
          </w:p>
        </w:tc>
        <w:tc>
          <w:tcPr>
            <w:tcW w:w="2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上达圣听，以表政绩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50" w:hRule="atLeast"/>
        </w:trPr>
        <w:tc>
          <w:tcPr>
            <w:tcW w:w="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张延绪</w:t>
            </w:r>
          </w:p>
        </w:tc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候补知县</w:t>
            </w:r>
          </w:p>
        </w:tc>
        <w:tc>
          <w:tcPr>
            <w:tcW w:w="4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心地明白，办事安详，清理积案，力求公允</w:t>
            </w:r>
          </w:p>
        </w:tc>
        <w:tc>
          <w:tcPr>
            <w:tcW w:w="2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上达圣听，以表政绩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胡季煊</w:t>
            </w:r>
          </w:p>
        </w:tc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宁津县知县</w:t>
            </w:r>
          </w:p>
        </w:tc>
        <w:tc>
          <w:tcPr>
            <w:tcW w:w="4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贪酷众著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>
              <w:rPr>
                <w:rFonts w:ascii="楷体" w:hAnsi="楷体" w:eastAsia="楷体" w:cs="楷体"/>
                <w:color w:val="000000"/>
              </w:rPr>
              <w:t>民怨沸腾；宁津有呈控侵吞肥己各款，伪造巨款假账；株连平民，将其房产抄没变卖</w:t>
            </w:r>
          </w:p>
        </w:tc>
        <w:tc>
          <w:tcPr>
            <w:tcW w:w="2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即行革职，永不叙用；所控各款认真查办，另行奏结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5" w:hRule="atLeast"/>
        </w:trPr>
        <w:tc>
          <w:tcPr>
            <w:tcW w:w="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李作棠</w:t>
            </w:r>
          </w:p>
        </w:tc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保安州知州</w:t>
            </w:r>
          </w:p>
        </w:tc>
        <w:tc>
          <w:tcPr>
            <w:tcW w:w="4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性耽安逸，罢敕不识，公事委之书差，上下其手</w:t>
            </w:r>
          </w:p>
        </w:tc>
        <w:tc>
          <w:tcPr>
            <w:tcW w:w="2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以县丞降补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8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宋炳文</w:t>
            </w:r>
          </w:p>
        </w:tc>
        <w:tc>
          <w:tcPr>
            <w:tcW w:w="13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冀州知州</w:t>
            </w:r>
          </w:p>
        </w:tc>
        <w:tc>
          <w:tcPr>
            <w:tcW w:w="4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性情疲缓，久有公事废弛之名：近尤精力衰颓，于大小政务不能照摄；惟居心厚道，且系进士出身</w:t>
            </w:r>
          </w:p>
        </w:tc>
        <w:tc>
          <w:tcPr>
            <w:tcW w:w="2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改为教职归部选用</w:t>
            </w:r>
          </w:p>
        </w:tc>
      </w:tr>
    </w:tbl>
    <w:p>
      <w:pPr>
        <w:spacing w:line="360" w:lineRule="auto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——据《曾国藩全集》</w:t>
      </w:r>
    </w:p>
    <w:p>
      <w:pPr>
        <w:numPr>
          <w:ilvl w:val="0"/>
          <w:numId w:val="3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据材料概括指出清代考核地方官员的依据。</w:t>
      </w: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据材料并结合所学知识，说明清代考核地方官员的作用。</w:t>
      </w: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35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</w:t>
      </w:r>
      <w:r>
        <w:rPr>
          <w:rFonts w:ascii="Times New Roman" w:hAnsi="Times New Roman" w:eastAsia="Times New Roman" w:cs="Times New Roman"/>
          <w:color w:val="000000"/>
        </w:rPr>
        <w:t xml:space="preserve">  </w:t>
      </w:r>
      <w:r>
        <w:rPr>
          <w:rFonts w:ascii="楷体" w:hAnsi="楷体" w:eastAsia="楷体" w:cs="楷体"/>
          <w:color w:val="000000"/>
        </w:rPr>
        <w:t>我们这里所说的“文化”是一个大文化概念。“文化”这个词至少有三种理解，最基础的理解是“读书写字”</w:t>
      </w:r>
      <w:r>
        <w:rPr>
          <w:rFonts w:ascii="Times New Roman" w:hAnsi="Times New Roman" w:eastAsia="Times New Roman" w:cs="Times New Roman"/>
          <w:color w:val="000000"/>
        </w:rPr>
        <w:t>;</w:t>
      </w:r>
      <w:r>
        <w:rPr>
          <w:rFonts w:ascii="楷体" w:hAnsi="楷体" w:eastAsia="楷体" w:cs="楷体"/>
          <w:color w:val="000000"/>
        </w:rPr>
        <w:t>第二种理解是指文学、艺术、小说、戏剧，还有唱歌、跳舞等，粗略等同于“文学艺术活动”</w:t>
      </w:r>
      <w:r>
        <w:rPr>
          <w:rFonts w:ascii="Times New Roman" w:hAnsi="Times New Roman" w:eastAsia="Times New Roman" w:cs="Times New Roman"/>
          <w:color w:val="000000"/>
        </w:rPr>
        <w:t>;</w:t>
      </w:r>
      <w:r>
        <w:rPr>
          <w:rFonts w:ascii="楷体" w:hAnsi="楷体" w:eastAsia="楷体" w:cs="楷体"/>
          <w:color w:val="000000"/>
        </w:rPr>
        <w:t>第三种理解是指社会的整体存在方式，它包括社会的制度设计、生活状态、价值取向、思维方式、物质创造、精神导向等。显然，前两种理解包含在第三种理解中，第三种理解是一个更宽、更高层次上的理解，大致可以与文明相等同。</w:t>
      </w:r>
    </w:p>
    <w:p>
      <w:pPr>
        <w:spacing w:line="360" w:lineRule="auto"/>
        <w:ind w:firstLine="435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——摘编自钱乘旦《西方那一块土》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据材料并结合所学知识，以某一世界古代文明为例，就文化是“社会的整体存在方式”的观点进行阐述。（要求：选择中国以外的古代文明，史论结合，逻辑严谨，表述成文）</w:t>
      </w:r>
      <w:bookmarkStart w:id="0" w:name="_GoBack"/>
      <w:bookmarkEnd w:id="0"/>
    </w:p>
    <w:p>
      <w:pPr>
        <w:spacing w:line="360" w:lineRule="auto"/>
        <w:jc w:val="both"/>
        <w:textAlignment w:val="center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91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t xml:space="preserve">   </w:t>
    </w:r>
  </w:p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4E233"/>
    <w:multiLevelType w:val="singleLevel"/>
    <w:tmpl w:val="8F44E23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36F9B8F"/>
    <w:multiLevelType w:val="singleLevel"/>
    <w:tmpl w:val="A36F9B8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9C4D4E5"/>
    <w:multiLevelType w:val="singleLevel"/>
    <w:tmpl w:val="49C4D4E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28002dfa-a300-46a6-9246-072166cc60d7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2AA620D9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6</Pages>
  <Words>3901</Words>
  <Characters>4064</Characters>
  <Lines>0</Lines>
  <Paragraphs>0</Paragraphs>
  <TotalTime>3</TotalTime>
  <ScaleCrop>false</ScaleCrop>
  <LinksUpToDate>false</LinksUpToDate>
  <CharactersWithSpaces>4233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2024-08-07T11:20:00Z</dcterms:created>
  <dc:creator>学科网试题生产平台</dc:creator>
  <dc:description>3534367977414656</dc:description>
  <cp:lastModifiedBy>YZZX</cp:lastModifiedBy>
  <dcterms:modified xsi:type="dcterms:W3CDTF">2025-01-13T04:12:07Z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FE232CF4FD4542D6AF7E4A8C05F802B2</vt:lpwstr>
  </property>
</Properties>
</file>