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20878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第二章 电磁感应 2.1 楞次定律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  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pacing w:line="240" w:lineRule="auto"/>
        <w:jc w:val="both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2024-12-25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270510</wp:posOffset>
            </wp:positionV>
            <wp:extent cx="838200" cy="990600"/>
            <wp:effectExtent l="0" t="0" r="0" b="0"/>
            <wp:wrapTight wrapText="bothSides">
              <wp:wrapPolygon>
                <wp:start x="0" y="0"/>
                <wp:lineTo x="0" y="21392"/>
                <wp:lineTo x="21355" y="21392"/>
                <wp:lineTo x="21355" y="0"/>
                <wp:lineTo x="0" y="0"/>
              </wp:wrapPolygon>
            </wp:wrapTight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如图，闭合矩形线圈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位于通电长直导线附近，电流方向如图所示，线圈与导线在同一平面内，线圈的两个边与导线平行，关于线圈中感应电流方向的判断，下列说法正确的是(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A．线圈向右运动时，电流沿顺时针方向</w:t>
      </w:r>
      <w:bookmarkStart w:id="1" w:name="_GoBack"/>
      <w:bookmarkEnd w:id="1"/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B．线圈沿平行于直导线方向向上运动时，电流沿顺时针方向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C．线圈以直导线为轴向外旋转时，电流沿逆时针方向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D．直导线中电流沿图示方向增加时，电流沿顺时针方向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2．</w:t>
      </w:r>
      <w:r>
        <w:rPr>
          <w:rFonts w:ascii="Times New Roman" w:hAnsi="Times New Roman" w:cs="Times New Roman"/>
        </w:rPr>
        <w:t>如图记录的是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探究影响感应电流方向的因素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的实验现象，则下列判断正确的是(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113665</wp:posOffset>
            </wp:positionV>
            <wp:extent cx="2443480" cy="836930"/>
            <wp:effectExtent l="0" t="0" r="13970" b="1270"/>
            <wp:wrapTight wrapText="bothSides">
              <wp:wrapPolygon>
                <wp:start x="0" y="0"/>
                <wp:lineTo x="0" y="21141"/>
                <wp:lineTo x="21387" y="21141"/>
                <wp:lineTo x="21387" y="0"/>
                <wp:lineTo x="0" y="0"/>
              </wp:wrapPolygon>
            </wp:wrapTight>
            <wp:docPr id="222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1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A．由甲、乙可知，当磁体靠近线圈时，磁体和线圈相斥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B．由甲、乙可知，感应电流的方向由穿过线圈的磁场方向决定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C．由丙、丁可知，当磁体远离线圈时，磁体和线圈相斥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</w:t>
      </w:r>
      <w:r>
        <w:rPr>
          <w:rFonts w:ascii="Times New Roman" w:hAnsi="Times New Roman" w:cs="Times New Roman"/>
        </w:rPr>
        <w:t>由丙、丁可知，穿过线圈的磁通量减少时，感应电流的磁场与原磁场的方向相反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468630</wp:posOffset>
            </wp:positionV>
            <wp:extent cx="1296035" cy="802005"/>
            <wp:effectExtent l="0" t="0" r="18415" b="17145"/>
            <wp:wrapTight wrapText="bothSides">
              <wp:wrapPolygon>
                <wp:start x="0" y="0"/>
                <wp:lineTo x="0" y="21036"/>
                <wp:lineTo x="21272" y="21036"/>
                <wp:lineTo x="21272" y="0"/>
                <wp:lineTo x="0" y="0"/>
              </wp:wrapPolygon>
            </wp:wrapTight>
            <wp:docPr id="225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3．</w:t>
      </w:r>
      <w:r>
        <w:rPr>
          <w:rFonts w:ascii="Times New Roman" w:hAnsi="Times New Roman" w:cs="Times New Roman"/>
        </w:rPr>
        <w:t>如图所示是法拉第在1831年做电磁感应实验的示意图，铁环上绕有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两个线圈，线圈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接直流电源，线圈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接电流表和开关S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通过多次实验，法拉第终于总结出产生感应电流的条件，分析这个实验，下列说法中正确的是(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A．闭合开关S的瞬间，电流表G中有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的感应电流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B．闭合开关S的瞬间，电流表G中有b→a的感应电流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C．闭合开关S后，在增大电阻R的过程中，电流表G中有b→a的感应电流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</w:t>
      </w:r>
      <w:r>
        <w:rPr>
          <w:rFonts w:ascii="Times New Roman" w:hAnsi="Times New Roman" w:cs="Times New Roman"/>
        </w:rPr>
        <w:t>闭合开关S后，滑动变阻器滑动触头向右移动，电流表G指针不偏转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300355</wp:posOffset>
            </wp:positionV>
            <wp:extent cx="1598930" cy="774065"/>
            <wp:effectExtent l="0" t="0" r="1270" b="6985"/>
            <wp:wrapTight wrapText="bothSides">
              <wp:wrapPolygon>
                <wp:start x="0" y="0"/>
                <wp:lineTo x="0" y="21263"/>
                <wp:lineTo x="21360" y="21263"/>
                <wp:lineTo x="21360" y="0"/>
                <wp:lineTo x="0" y="0"/>
              </wp:wrapPolygon>
            </wp:wrapTight>
            <wp:docPr id="216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研究电磁感应现象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的实验装置，线圈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放在线圈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中，在闭合开关瞬间，发现灵敏电流计的指针向右偏转．下列说法中正确的是(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A．闭合开关后，将线圈A从线圈B中抽出时，电流计指针向右偏转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B．闭合开关后，滑片P向右滑动时，电流计指针向右偏转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C．闭合开关后，线圈A、B保持不动，电流计指针一直向右偏转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eastAsia="黑体" w:cs="Times New Roman"/>
        </w:rPr>
      </w:pPr>
      <w:r>
        <w:rPr>
          <w:rFonts w:hint="eastAsia"/>
          <w:szCs w:val="21"/>
          <w:lang w:val="en-US" w:eastAsia="zh-CN"/>
        </w:rPr>
        <w:t>D．</w:t>
      </w:r>
      <w:r>
        <w:rPr>
          <w:rFonts w:ascii="Times New Roman" w:hAnsi="Times New Roman" w:cs="Times New Roman"/>
        </w:rPr>
        <w:t xml:space="preserve">断开开关瞬间，电流计指针向右偏转 </w:t>
      </w:r>
    </w:p>
    <w:p>
      <w:pPr>
        <w:spacing w:line="240" w:lineRule="auto"/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如图所示，一圆形金属线圈放置在水平桌面上，匀强磁场垂直于桌面竖直向下，过线圈上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点作切线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与线圈在同一平面上．在线圈以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为轴翻转180°的过程中，线圈中电流方向(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A．始终为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35560</wp:posOffset>
            </wp:positionV>
            <wp:extent cx="1257300" cy="809625"/>
            <wp:effectExtent l="0" t="0" r="0" b="0"/>
            <wp:wrapTight wrapText="bothSides">
              <wp:wrapPolygon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141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B．先为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后为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C．始终为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D．先为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后为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i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6．闭合电路的一部分导体在磁场中做切割磁感线运动，如图所示，能正确表示磁感应强度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的方向、导体运动速度方向与产生的感应电流方向间关系的是(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1300" cy="657225"/>
            <wp:effectExtent l="0" t="0" r="0" b="0"/>
            <wp:docPr id="137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4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413385</wp:posOffset>
            </wp:positionV>
            <wp:extent cx="1076325" cy="847725"/>
            <wp:effectExtent l="0" t="0" r="0" b="0"/>
            <wp:wrapTight wrapText="bothSides">
              <wp:wrapPolygon>
                <wp:start x="0" y="0"/>
                <wp:lineTo x="0" y="21357"/>
                <wp:lineTo x="21409" y="21357"/>
                <wp:lineTo x="21409" y="0"/>
                <wp:lineTo x="0" y="0"/>
              </wp:wrapPolygon>
            </wp:wrapTight>
            <wp:docPr id="143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为一金属杆，它处在如图所示的垂直于纸面向里的匀强磁场中，可绕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点在纸面内转动，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为以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为圆心位于纸面内的金属圆环，在杆转动过程中，杆的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端与金属环保持良好接触， A为电流表，其一端与金属环相连，另一端与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点良好接触．当杆沿逆时针方向转动时，某时刻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杆的位置如图，则此时刻(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A．有电流通过电流表，方向由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；作用于杆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的安培力向右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B．有电流通过电流表，方向由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；作用于杆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的安培力向左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C．有电流通过电流表，方向由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；作用于杆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的安培力向右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D．无电流通过电流表，作用于杆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的安培力为零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新教材（苏京）\\教师用书Word版文档\\能力综合练.TIF"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37465</wp:posOffset>
            </wp:positionV>
            <wp:extent cx="952500" cy="847725"/>
            <wp:effectExtent l="0" t="0" r="0" b="0"/>
            <wp:wrapTight wrapText="bothSides">
              <wp:wrapPolygon>
                <wp:start x="0" y="0"/>
                <wp:lineTo x="0" y="21357"/>
                <wp:lineTo x="21384" y="21357"/>
                <wp:lineTo x="21384" y="0"/>
                <wp:lineTo x="0" y="0"/>
              </wp:wrapPolygon>
            </wp:wrapTight>
            <wp:docPr id="146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4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8．</w:t>
      </w:r>
      <w:r>
        <w:rPr>
          <w:rFonts w:ascii="Times New Roman" w:hAnsi="Times New Roman" w:cs="Times New Roman"/>
        </w:rPr>
        <w:t>如图所示，金属环所在区域存在匀强磁场，磁场方向垂直纸面向里．当磁感应强度逐渐增强时，内、外金属环中感应电流的方向为(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A．外金属环顺时针，内金属环逆时针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B．外金属环逆时针，内金属环顺时针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C．内、外金属环均为逆时针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D．内、外金属环均为顺时针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77470</wp:posOffset>
            </wp:positionV>
            <wp:extent cx="914400" cy="1143000"/>
            <wp:effectExtent l="0" t="0" r="0" b="0"/>
            <wp:wrapTight wrapText="bothSides">
              <wp:wrapPolygon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148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5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9．如图所示，在磁感应强度大小为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、方向竖直向上的匀强磁场中，有一闭合矩形金属线框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，用绝缘轻质细杆悬挂在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点，并可绕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点垂直纸面摆动．金属线框从纸面外某一位置由静止释放，在摆动到纸面另一侧最高点的过程中(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A．穿过线框的磁通量先变大后变小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B．穿过线框的磁通始终为零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C．线框中感应电流的方向是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D．线框中感应电流的方向先是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，后是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i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361315</wp:posOffset>
            </wp:positionV>
            <wp:extent cx="723900" cy="1037590"/>
            <wp:effectExtent l="0" t="0" r="0" b="10160"/>
            <wp:wrapTight wrapText="bothSides">
              <wp:wrapPolygon>
                <wp:start x="0" y="0"/>
                <wp:lineTo x="0" y="21018"/>
                <wp:lineTo x="21032" y="21018"/>
                <wp:lineTo x="21032" y="0"/>
                <wp:lineTo x="0" y="0"/>
              </wp:wrapPolygon>
            </wp:wrapTight>
            <wp:docPr id="230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25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eastAsia="zh-CN"/>
        </w:rPr>
        <w:t>10．</w:t>
      </w:r>
      <w:r>
        <w:rPr>
          <w:rFonts w:ascii="Times New Roman" w:hAnsi="Times New Roman" w:cs="Times New Roman"/>
        </w:rPr>
        <w:t>某磁场的磁感线如图所示，有一铜线圈自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处落至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处，在下落的过程中，自上向下看，线圈中的感应电流方向是(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A．始终顺时针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B．先顺时针，再逆时针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C．始终逆时针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D．先逆</w:t>
      </w:r>
      <w:r>
        <w:rPr>
          <w:rFonts w:ascii="Times New Roman" w:hAnsi="Times New Roman" w:cs="Times New Roman"/>
        </w:rPr>
        <w:t>时针，再顺时针</w:t>
      </w: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jc w:val="left"/>
        <w:rPr>
          <w:rFonts w:hint="eastAsia" w:ascii="Times New Roman" w:hAnsi="Times New Roman" w:eastAsia="微软雅黑" w:cs="Times New Roman"/>
          <w:lang w:eastAsia="zh-CN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UQBQWAgAAFwQAAA4AAABkcnMvZTJvRG9jLnhtbK1Ty47TMBTdI/EP&#10;lvc0aRGl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5PWUEs0UlnT+9vX8/fH84wuJSkDUWj+H59bCN3RvTIdVD3oPZZy8&#10;q5yKN2YisAPs0xVg0QXCY9BsMpvlMHHYhgfyZ0/h1vnwVhhFolBQhw0mYNlx40PvOrjEatqsGynT&#10;FqUmbUGnL1/lKeBqQXKpUSMO0TcbpdDtustkO1OeMJgzPTu85esGxTfMhwfmQAc0DIqHexyVNChi&#10;LhIltXGf/6aP/tgSrJS0oFdBNfhPiXynsb3IxEFwg7AbBH1QtwZ8HePrWJ5EBLggB7FyRn0C71ex&#10;BkxMc1QqaBjE29BTHP+Gi9UqOR2sa/Z1HwDuWRY2emt5LBOB9HZ1CAAzYRwB6lG54Ab2pS1dfkqk&#10;96/v5PX0n5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rFEAU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a770fb52-e276-4dae-805a-3567d842c464"/>
  </w:docVars>
  <w:rsids>
    <w:rsidRoot w:val="6FE955F8"/>
    <w:rsid w:val="00017822"/>
    <w:rsid w:val="000328C0"/>
    <w:rsid w:val="00142ED2"/>
    <w:rsid w:val="00146F3E"/>
    <w:rsid w:val="001650D6"/>
    <w:rsid w:val="001970C4"/>
    <w:rsid w:val="00262847"/>
    <w:rsid w:val="0028273B"/>
    <w:rsid w:val="0036639A"/>
    <w:rsid w:val="003B6CCC"/>
    <w:rsid w:val="003C5D52"/>
    <w:rsid w:val="005731D2"/>
    <w:rsid w:val="0059107B"/>
    <w:rsid w:val="00641CA7"/>
    <w:rsid w:val="006F105D"/>
    <w:rsid w:val="007623A0"/>
    <w:rsid w:val="008248B9"/>
    <w:rsid w:val="00AD6737"/>
    <w:rsid w:val="00B456EB"/>
    <w:rsid w:val="00B61268"/>
    <w:rsid w:val="00BC690D"/>
    <w:rsid w:val="00D1562F"/>
    <w:rsid w:val="00DF72C2"/>
    <w:rsid w:val="00EF6B7B"/>
    <w:rsid w:val="00F468B6"/>
    <w:rsid w:val="00FA409F"/>
    <w:rsid w:val="00FD2747"/>
    <w:rsid w:val="00FF51E3"/>
    <w:rsid w:val="0CB64B5A"/>
    <w:rsid w:val="0CBC5591"/>
    <w:rsid w:val="0D79630B"/>
    <w:rsid w:val="0ECA2E6B"/>
    <w:rsid w:val="181B1F72"/>
    <w:rsid w:val="1C376E02"/>
    <w:rsid w:val="1E5674CF"/>
    <w:rsid w:val="1F4B5176"/>
    <w:rsid w:val="1F6D0C83"/>
    <w:rsid w:val="21F54106"/>
    <w:rsid w:val="25E934C6"/>
    <w:rsid w:val="266A7323"/>
    <w:rsid w:val="2BAF5AB4"/>
    <w:rsid w:val="2D930D70"/>
    <w:rsid w:val="2DF70D5D"/>
    <w:rsid w:val="30126067"/>
    <w:rsid w:val="32AA4122"/>
    <w:rsid w:val="33F86EF6"/>
    <w:rsid w:val="35762226"/>
    <w:rsid w:val="382D55B6"/>
    <w:rsid w:val="3F6C0CFB"/>
    <w:rsid w:val="3F780536"/>
    <w:rsid w:val="3F8D261C"/>
    <w:rsid w:val="40AD48E9"/>
    <w:rsid w:val="44D02250"/>
    <w:rsid w:val="44F7743D"/>
    <w:rsid w:val="47DB7B41"/>
    <w:rsid w:val="4C00307B"/>
    <w:rsid w:val="4EF92D15"/>
    <w:rsid w:val="5202614D"/>
    <w:rsid w:val="55CB491B"/>
    <w:rsid w:val="58D40CEE"/>
    <w:rsid w:val="59A52CB3"/>
    <w:rsid w:val="5C734107"/>
    <w:rsid w:val="5C9A467E"/>
    <w:rsid w:val="5D815AB5"/>
    <w:rsid w:val="5DB54A73"/>
    <w:rsid w:val="63B816EE"/>
    <w:rsid w:val="65E910AE"/>
    <w:rsid w:val="668E0DC3"/>
    <w:rsid w:val="677A3ED4"/>
    <w:rsid w:val="67B74762"/>
    <w:rsid w:val="69E9507E"/>
    <w:rsid w:val="6A040F74"/>
    <w:rsid w:val="6DBE457B"/>
    <w:rsid w:val="6F056626"/>
    <w:rsid w:val="6FE955F8"/>
    <w:rsid w:val="72243083"/>
    <w:rsid w:val="74B66981"/>
    <w:rsid w:val="76355799"/>
    <w:rsid w:val="77823DA3"/>
    <w:rsid w:val="79B16F5E"/>
    <w:rsid w:val="7AB11ACE"/>
    <w:rsid w:val="7D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X2-1.TIF" TargetMode="External"/><Relationship Id="rId7" Type="http://schemas.openxmlformats.org/officeDocument/2006/relationships/image" Target="media/image2.png"/><Relationship Id="rId6" Type="http://schemas.openxmlformats.org/officeDocument/2006/relationships/image" Target="S10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X2-3.TIF" TargetMode="External"/><Relationship Id="rId23" Type="http://schemas.openxmlformats.org/officeDocument/2006/relationships/image" Target="media/image10.png"/><Relationship Id="rId22" Type="http://schemas.openxmlformats.org/officeDocument/2006/relationships/image" Target="X2-6.TIF" TargetMode="External"/><Relationship Id="rId21" Type="http://schemas.openxmlformats.org/officeDocument/2006/relationships/image" Target="media/image9.png"/><Relationship Id="rId20" Type="http://schemas.openxmlformats.org/officeDocument/2006/relationships/image" Target="2-3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-28.TIF" TargetMode="External"/><Relationship Id="rId17" Type="http://schemas.openxmlformats.org/officeDocument/2006/relationships/image" Target="media/image7.png"/><Relationship Id="rId16" Type="http://schemas.openxmlformats.org/officeDocument/2006/relationships/image" Target="2-19.TIF" TargetMode="External"/><Relationship Id="rId15" Type="http://schemas.openxmlformats.org/officeDocument/2006/relationships/image" Target="media/image6.png"/><Relationship Id="rId14" Type="http://schemas.openxmlformats.org/officeDocument/2006/relationships/image" Target="S103.TIF" TargetMode="External"/><Relationship Id="rId13" Type="http://schemas.openxmlformats.org/officeDocument/2006/relationships/image" Target="media/image5.png"/><Relationship Id="rId12" Type="http://schemas.openxmlformats.org/officeDocument/2006/relationships/image" Target="S96.TIF" TargetMode="External"/><Relationship Id="rId11" Type="http://schemas.openxmlformats.org/officeDocument/2006/relationships/image" Target="media/image4.png"/><Relationship Id="rId10" Type="http://schemas.openxmlformats.org/officeDocument/2006/relationships/image" Target="X2-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6788</Words>
  <Characters>7270</Characters>
  <Lines>56</Lines>
  <Paragraphs>15</Paragraphs>
  <TotalTime>3</TotalTime>
  <ScaleCrop>false</ScaleCrop>
  <LinksUpToDate>false</LinksUpToDate>
  <CharactersWithSpaces>7583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2024-07-07T01:43:00Z</cp:lastPrinted>
  <dcterms:modified xsi:type="dcterms:W3CDTF">2024-12-26T07:07:49Z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F1AA5A65B48C486D8091EF002B3DA36B_13</vt:lpwstr>
  </property>
</Properties>
</file>