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cs="Times New Roman"/>
          <w:b/>
          <w:color w:val="auto"/>
          <w:sz w:val="32"/>
          <w:lang w:val="en-US" w:eastAsia="zh-CN"/>
        </w:rPr>
      </w:pPr>
      <w:r>
        <w:rPr>
          <w:rFonts w:hint="eastAsia" w:cs="Times New Roman"/>
          <w:b/>
          <w:color w:val="auto"/>
          <w:sz w:val="32"/>
          <w:lang w:val="en-US" w:eastAsia="zh-CN"/>
        </w:rPr>
        <w:t>江苏省仪征中学2024-2025学年第一学期高二生物</w:t>
      </w:r>
    </w:p>
    <w:p>
      <w:pPr>
        <w:spacing w:line="360" w:lineRule="auto"/>
        <w:jc w:val="center"/>
        <w:rPr>
          <w:rFonts w:hint="default" w:cs="Times New Roman"/>
          <w:b/>
          <w:color w:val="auto"/>
          <w:sz w:val="32"/>
          <w:lang w:val="en-US" w:eastAsia="zh-CN"/>
        </w:rPr>
      </w:pPr>
      <w:r>
        <w:rPr>
          <w:rFonts w:hint="eastAsia" w:cs="Times New Roman"/>
          <w:b/>
          <w:color w:val="auto"/>
          <w:sz w:val="32"/>
          <w:lang w:val="en-US" w:eastAsia="zh-CN"/>
        </w:rPr>
        <w:t>期末模拟练习2</w:t>
      </w:r>
    </w:p>
    <w:p>
      <w:pPr>
        <w:keepNext w:val="0"/>
        <w:keepLines w:val="0"/>
        <w:pageBreakBefore w:val="0"/>
        <w:widowControl w:val="0"/>
        <w:kinsoku/>
        <w:wordWrap/>
        <w:overflowPunct/>
        <w:topLinePunct w:val="0"/>
        <w:autoSpaceDE/>
        <w:autoSpaceDN/>
        <w:bidi w:val="0"/>
        <w:adjustRightInd/>
        <w:snapToGrid/>
        <w:spacing w:line="240" w:lineRule="auto"/>
        <w:jc w:val="left"/>
        <w:rPr>
          <w:sz w:val="21"/>
          <w:szCs w:val="21"/>
        </w:rPr>
      </w:pPr>
      <w:r>
        <w:rPr>
          <w:rFonts w:ascii="宋体" w:hAnsi="宋体" w:eastAsia="宋体" w:cs="宋体"/>
          <w:b/>
          <w:color w:val="auto"/>
          <w:sz w:val="21"/>
          <w:szCs w:val="21"/>
        </w:rPr>
        <w:t>一、单项选择题：本部分包括</w:t>
      </w:r>
      <w:r>
        <w:rPr>
          <w:rFonts w:ascii="Times New Roman" w:hAnsi="Times New Roman" w:eastAsia="Times New Roman" w:cs="Times New Roman"/>
          <w:b/>
          <w:color w:val="auto"/>
          <w:sz w:val="21"/>
          <w:szCs w:val="21"/>
        </w:rPr>
        <w:t>14</w:t>
      </w:r>
      <w:r>
        <w:rPr>
          <w:rFonts w:ascii="宋体" w:hAnsi="宋体" w:eastAsia="宋体" w:cs="宋体"/>
          <w:b/>
          <w:color w:val="auto"/>
          <w:sz w:val="21"/>
          <w:szCs w:val="21"/>
        </w:rPr>
        <w:t>题，每题</w:t>
      </w:r>
      <w:r>
        <w:rPr>
          <w:rFonts w:ascii="Times New Roman" w:hAnsi="Times New Roman" w:eastAsia="Times New Roman" w:cs="Times New Roman"/>
          <w:b/>
          <w:color w:val="auto"/>
          <w:sz w:val="21"/>
          <w:szCs w:val="21"/>
        </w:rPr>
        <w:t>2</w:t>
      </w:r>
      <w:r>
        <w:rPr>
          <w:rFonts w:ascii="宋体" w:hAnsi="宋体" w:eastAsia="宋体" w:cs="宋体"/>
          <w:b/>
          <w:color w:val="auto"/>
          <w:sz w:val="21"/>
          <w:szCs w:val="21"/>
        </w:rPr>
        <w:t>分，共计</w:t>
      </w:r>
      <w:r>
        <w:rPr>
          <w:rFonts w:ascii="Times New Roman" w:hAnsi="Times New Roman" w:eastAsia="Times New Roman" w:cs="Times New Roman"/>
          <w:b/>
          <w:color w:val="auto"/>
          <w:sz w:val="21"/>
          <w:szCs w:val="21"/>
        </w:rPr>
        <w:t>28</w:t>
      </w:r>
      <w:r>
        <w:rPr>
          <w:rFonts w:ascii="宋体" w:hAnsi="宋体" w:eastAsia="宋体" w:cs="宋体"/>
          <w:b/>
          <w:color w:val="auto"/>
          <w:sz w:val="21"/>
          <w:szCs w:val="21"/>
        </w:rPr>
        <w:t>分。</w:t>
      </w:r>
    </w:p>
    <w:p>
      <w:pPr>
        <w:keepNext w:val="0"/>
        <w:keepLines w:val="0"/>
        <w:pageBreakBefore w:val="0"/>
        <w:widowControl w:val="0"/>
        <w:kinsoku/>
        <w:wordWrap/>
        <w:overflowPunct/>
        <w:topLinePunct w:val="0"/>
        <w:autoSpaceDE/>
        <w:autoSpaceDN/>
        <w:bidi w:val="0"/>
        <w:adjustRightInd/>
        <w:snapToGrid/>
        <w:spacing w:line="240" w:lineRule="auto"/>
        <w:jc w:val="left"/>
        <w:rPr>
          <w:sz w:val="21"/>
          <w:szCs w:val="21"/>
        </w:rPr>
      </w:pPr>
      <w:r>
        <w:rPr>
          <w:color w:val="auto"/>
          <w:sz w:val="21"/>
          <w:szCs w:val="21"/>
        </w:rPr>
        <w:t xml:space="preserve">1. </w:t>
      </w:r>
      <w:r>
        <w:rPr>
          <w:rFonts w:ascii="宋体" w:hAnsi="宋体" w:eastAsia="宋体" w:cs="宋体"/>
          <w:color w:val="auto"/>
          <w:sz w:val="21"/>
          <w:szCs w:val="21"/>
        </w:rPr>
        <w:t>下列有关内环境和稳态的说法，正确的是（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sz w:val="21"/>
          <w:szCs w:val="21"/>
        </w:rPr>
      </w:pPr>
      <w:r>
        <w:rPr>
          <w:sz w:val="21"/>
          <w:szCs w:val="21"/>
        </w:rPr>
        <w:t xml:space="preserve">A. </w:t>
      </w:r>
      <w:r>
        <w:rPr>
          <w:rFonts w:ascii="宋体" w:hAnsi="宋体" w:eastAsia="宋体" w:cs="宋体"/>
          <w:color w:val="auto"/>
          <w:sz w:val="21"/>
          <w:szCs w:val="21"/>
        </w:rPr>
        <w:t>内环境中</w:t>
      </w:r>
      <w:r>
        <w:rPr>
          <w:rFonts w:ascii="Times New Roman" w:hAnsi="Times New Roman" w:eastAsia="Times New Roman" w:cs="Times New Roman"/>
          <w:color w:val="auto"/>
          <w:sz w:val="21"/>
          <w:szCs w:val="21"/>
        </w:rPr>
        <w:t>Na</w:t>
      </w:r>
      <w:r>
        <w:rPr>
          <w:rFonts w:ascii="Times New Roman" w:hAnsi="Times New Roman" w:eastAsia="Times New Roman" w:cs="Times New Roman"/>
          <w:color w:val="auto"/>
          <w:sz w:val="21"/>
          <w:szCs w:val="21"/>
          <w:vertAlign w:val="superscript"/>
        </w:rPr>
        <w:t>+</w:t>
      </w:r>
      <w:r>
        <w:rPr>
          <w:rFonts w:ascii="宋体" w:hAnsi="宋体" w:eastAsia="宋体" w:cs="宋体"/>
          <w:color w:val="auto"/>
          <w:sz w:val="21"/>
          <w:szCs w:val="21"/>
        </w:rPr>
        <w:t>、</w:t>
      </w:r>
      <w:r>
        <w:rPr>
          <w:rFonts w:ascii="Times New Roman" w:hAnsi="Times New Roman" w:eastAsia="Times New Roman" w:cs="Times New Roman"/>
          <w:color w:val="auto"/>
          <w:sz w:val="21"/>
          <w:szCs w:val="21"/>
        </w:rPr>
        <w:t>K</w:t>
      </w:r>
      <w:r>
        <w:rPr>
          <w:rFonts w:ascii="Times New Roman" w:hAnsi="Times New Roman" w:eastAsia="Times New Roman" w:cs="Times New Roman"/>
          <w:color w:val="auto"/>
          <w:sz w:val="21"/>
          <w:szCs w:val="21"/>
          <w:vertAlign w:val="superscript"/>
        </w:rPr>
        <w:t>+</w:t>
      </w:r>
      <w:r>
        <w:rPr>
          <w:rFonts w:ascii="宋体" w:hAnsi="宋体" w:eastAsia="宋体" w:cs="宋体"/>
          <w:color w:val="auto"/>
          <w:sz w:val="21"/>
          <w:szCs w:val="21"/>
        </w:rPr>
        <w:t>浓度过高或过低都可能影响到神经细胞的兴奋性</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sz w:val="21"/>
          <w:szCs w:val="21"/>
        </w:rPr>
      </w:pPr>
      <w:r>
        <w:rPr>
          <w:sz w:val="21"/>
          <w:szCs w:val="21"/>
        </w:rPr>
        <w:t xml:space="preserve">B. </w:t>
      </w:r>
      <w:r>
        <w:rPr>
          <w:rFonts w:ascii="宋体" w:hAnsi="宋体" w:eastAsia="宋体" w:cs="宋体"/>
          <w:color w:val="auto"/>
          <w:sz w:val="21"/>
          <w:szCs w:val="21"/>
        </w:rPr>
        <w:t>内环境是机体进行生命活动和细胞代谢的主要场所</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sz w:val="21"/>
          <w:szCs w:val="21"/>
        </w:rPr>
      </w:pPr>
      <w:r>
        <w:rPr>
          <w:sz w:val="21"/>
          <w:szCs w:val="21"/>
        </w:rPr>
        <w:t xml:space="preserve">C. </w:t>
      </w:r>
      <w:r>
        <w:rPr>
          <w:rFonts w:ascii="宋体" w:hAnsi="宋体" w:eastAsia="宋体" w:cs="宋体"/>
          <w:color w:val="auto"/>
          <w:sz w:val="21"/>
          <w:szCs w:val="21"/>
        </w:rPr>
        <w:t>人体内环境稳态是指其</w:t>
      </w:r>
      <w:r>
        <w:rPr>
          <w:rFonts w:ascii="Times New Roman" w:hAnsi="Times New Roman" w:eastAsia="Times New Roman" w:cs="Times New Roman"/>
          <w:color w:val="auto"/>
          <w:sz w:val="21"/>
          <w:szCs w:val="21"/>
        </w:rPr>
        <w:t>pH</w:t>
      </w:r>
      <w:r>
        <w:rPr>
          <w:rFonts w:ascii="宋体" w:hAnsi="宋体" w:eastAsia="宋体" w:cs="宋体"/>
          <w:color w:val="auto"/>
          <w:sz w:val="21"/>
          <w:szCs w:val="21"/>
        </w:rPr>
        <w:t>、渗透压保持相对稳定</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sz w:val="21"/>
          <w:szCs w:val="21"/>
        </w:rPr>
        <w:t xml:space="preserve">D. </w:t>
      </w:r>
      <w:r>
        <w:rPr>
          <w:rFonts w:ascii="宋体" w:hAnsi="宋体" w:eastAsia="宋体" w:cs="宋体"/>
          <w:color w:val="auto"/>
          <w:sz w:val="21"/>
          <w:szCs w:val="21"/>
        </w:rPr>
        <w:t>内环境稳态是神经调节和体液调节共同作用的结果，与免疫无关</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2. </w:t>
      </w:r>
      <w:r>
        <w:rPr>
          <w:rFonts w:ascii="宋体" w:hAnsi="宋体" w:eastAsia="宋体" w:cs="宋体"/>
          <w:color w:val="000000"/>
          <w:sz w:val="21"/>
          <w:szCs w:val="21"/>
        </w:rPr>
        <w:t>河鲀毒素能作用于神经末梢和神经中枢，专一性地与</w:t>
      </w:r>
      <w:r>
        <w:rPr>
          <w:rFonts w:ascii="Times New Roman" w:hAnsi="Times New Roman" w:eastAsia="Times New Roman" w:cs="Times New Roman"/>
          <w:color w:val="000000"/>
          <w:sz w:val="21"/>
          <w:szCs w:val="21"/>
        </w:rPr>
        <w:t>Na</w:t>
      </w:r>
      <w:r>
        <w:rPr>
          <w:rFonts w:ascii="Times New Roman" w:hAnsi="Times New Roman" w:eastAsia="Times New Roman" w:cs="Times New Roman"/>
          <w:color w:val="000000"/>
          <w:sz w:val="21"/>
          <w:szCs w:val="21"/>
          <w:vertAlign w:val="superscript"/>
        </w:rPr>
        <w:t>+</w:t>
      </w:r>
      <w:r>
        <w:rPr>
          <w:rFonts w:ascii="宋体" w:hAnsi="宋体" w:eastAsia="宋体" w:cs="宋体"/>
          <w:color w:val="000000"/>
          <w:sz w:val="21"/>
          <w:szCs w:val="21"/>
        </w:rPr>
        <w:t>通道结合，高效阻断</w:t>
      </w:r>
      <w:r>
        <w:rPr>
          <w:rFonts w:ascii="Times New Roman" w:hAnsi="Times New Roman" w:eastAsia="Times New Roman" w:cs="Times New Roman"/>
          <w:color w:val="000000"/>
          <w:sz w:val="21"/>
          <w:szCs w:val="21"/>
        </w:rPr>
        <w:t>Na</w:t>
      </w:r>
      <w:r>
        <w:rPr>
          <w:rFonts w:ascii="Times New Roman" w:hAnsi="Times New Roman" w:eastAsia="Times New Roman" w:cs="Times New Roman"/>
          <w:color w:val="000000"/>
          <w:sz w:val="21"/>
          <w:szCs w:val="21"/>
          <w:vertAlign w:val="superscript"/>
        </w:rPr>
        <w:t>+</w:t>
      </w:r>
      <w:r>
        <w:rPr>
          <w:rFonts w:ascii="宋体" w:hAnsi="宋体" w:eastAsia="宋体" w:cs="宋体"/>
          <w:color w:val="000000"/>
          <w:sz w:val="21"/>
          <w:szCs w:val="21"/>
        </w:rPr>
        <w:t>内流，抑制兴奋传递，最终导致神经细胞死亡。相关叙述错误的是（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A. </w:t>
      </w:r>
      <w:r>
        <w:rPr>
          <w:rFonts w:ascii="宋体" w:hAnsi="宋体" w:eastAsia="宋体" w:cs="宋体"/>
          <w:color w:val="000000"/>
          <w:sz w:val="21"/>
          <w:szCs w:val="21"/>
        </w:rPr>
        <w:t>神经元中</w:t>
      </w:r>
      <w:r>
        <w:rPr>
          <w:rFonts w:ascii="Times New Roman" w:hAnsi="Times New Roman" w:eastAsia="Times New Roman" w:cs="Times New Roman"/>
          <w:color w:val="000000"/>
          <w:sz w:val="21"/>
          <w:szCs w:val="21"/>
        </w:rPr>
        <w:t>Na</w:t>
      </w:r>
      <w:r>
        <w:rPr>
          <w:rFonts w:ascii="Times New Roman" w:hAnsi="Times New Roman" w:eastAsia="Times New Roman" w:cs="Times New Roman"/>
          <w:color w:val="000000"/>
          <w:sz w:val="21"/>
          <w:szCs w:val="21"/>
          <w:vertAlign w:val="superscript"/>
        </w:rPr>
        <w:t>+</w:t>
      </w:r>
      <w:r>
        <w:rPr>
          <w:rFonts w:ascii="宋体" w:hAnsi="宋体" w:eastAsia="宋体" w:cs="宋体"/>
          <w:color w:val="000000"/>
          <w:sz w:val="21"/>
          <w:szCs w:val="21"/>
        </w:rPr>
        <w:t>内流不需要细胞内化学反应提供能量</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B. </w:t>
      </w:r>
      <w:r>
        <w:rPr>
          <w:rFonts w:ascii="宋体" w:hAnsi="宋体" w:eastAsia="宋体" w:cs="宋体"/>
          <w:color w:val="000000"/>
          <w:sz w:val="21"/>
          <w:szCs w:val="21"/>
        </w:rPr>
        <w:t>兴奋在神经元之间的传递一般都需要发生信号的转化</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C. </w:t>
      </w:r>
      <w:r>
        <w:rPr>
          <w:rFonts w:ascii="宋体" w:hAnsi="宋体" w:eastAsia="宋体" w:cs="宋体"/>
          <w:color w:val="000000"/>
          <w:sz w:val="21"/>
          <w:szCs w:val="21"/>
        </w:rPr>
        <w:t>河鲀毒素中毒病人会因为神经元的动作电位增大引发肌无力</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drawing>
          <wp:anchor distT="0" distB="0" distL="114300" distR="114300" simplePos="0" relativeHeight="251659264" behindDoc="0" locked="0" layoutInCell="1" allowOverlap="1">
            <wp:simplePos x="0" y="0"/>
            <wp:positionH relativeFrom="column">
              <wp:posOffset>3605530</wp:posOffset>
            </wp:positionH>
            <wp:positionV relativeFrom="paragraph">
              <wp:posOffset>191770</wp:posOffset>
            </wp:positionV>
            <wp:extent cx="2427605" cy="1289685"/>
            <wp:effectExtent l="0" t="0" r="10795" b="5715"/>
            <wp:wrapSquare wrapText="bothSides"/>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2427605" cy="1289685"/>
                    </a:xfrm>
                    <a:prstGeom prst="rect">
                      <a:avLst/>
                    </a:prstGeom>
                  </pic:spPr>
                </pic:pic>
              </a:graphicData>
            </a:graphic>
          </wp:anchor>
        </w:drawing>
      </w:r>
      <w:r>
        <w:rPr>
          <w:color w:val="000000"/>
          <w:sz w:val="21"/>
          <w:szCs w:val="21"/>
        </w:rPr>
        <w:t xml:space="preserve">D. </w:t>
      </w:r>
      <w:r>
        <w:rPr>
          <w:rFonts w:ascii="宋体" w:hAnsi="宋体" w:eastAsia="宋体" w:cs="宋体"/>
          <w:color w:val="000000"/>
          <w:sz w:val="21"/>
          <w:szCs w:val="21"/>
        </w:rPr>
        <w:t>河鲀毒素有可能会被开发用于局部镇痛</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3. </w:t>
      </w:r>
      <w:r>
        <w:rPr>
          <w:rFonts w:ascii="宋体" w:hAnsi="宋体" w:eastAsia="宋体" w:cs="宋体"/>
          <w:color w:val="000000"/>
          <w:sz w:val="21"/>
          <w:szCs w:val="21"/>
        </w:rPr>
        <w:t>如图为膝跳反射示意图，相关叙述正确的是（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A. </w:t>
      </w:r>
      <w:r>
        <w:rPr>
          <w:rFonts w:ascii="宋体" w:hAnsi="宋体" w:eastAsia="宋体" w:cs="宋体"/>
          <w:color w:val="000000"/>
          <w:sz w:val="21"/>
          <w:szCs w:val="21"/>
        </w:rPr>
        <w:t>伸肌肌群内既有感受器也有效应器</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B. </w:t>
      </w:r>
      <w:r>
        <w:rPr>
          <w:rFonts w:ascii="宋体" w:hAnsi="宋体" w:eastAsia="宋体" w:cs="宋体"/>
          <w:color w:val="000000"/>
          <w:sz w:val="21"/>
          <w:szCs w:val="21"/>
        </w:rPr>
        <w:t>传入神经释放抑制性神经递质，使中间神经元静息电位的绝对值增大</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C. </w:t>
      </w:r>
      <w:r>
        <w:rPr>
          <w:rFonts w:ascii="宋体" w:hAnsi="宋体" w:eastAsia="宋体" w:cs="宋体"/>
          <w:color w:val="000000"/>
          <w:sz w:val="21"/>
          <w:szCs w:val="21"/>
        </w:rPr>
        <w:t>反射过程中兴奋在神经纤维上的传导是双向的</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D. </w:t>
      </w:r>
      <w:r>
        <w:rPr>
          <w:rFonts w:ascii="宋体" w:hAnsi="宋体" w:eastAsia="宋体" w:cs="宋体"/>
          <w:color w:val="000000"/>
          <w:sz w:val="21"/>
          <w:szCs w:val="21"/>
        </w:rPr>
        <w:t>神经支配伸肌舒张和屈肌收缩协调完成膝跳反射</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4. </w:t>
      </w:r>
      <w:r>
        <w:rPr>
          <w:rFonts w:ascii="宋体" w:hAnsi="宋体" w:eastAsia="宋体" w:cs="宋体"/>
          <w:color w:val="000000"/>
          <w:sz w:val="21"/>
          <w:szCs w:val="21"/>
        </w:rPr>
        <w:t>下列关于实验操作的叙述，正确的是（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A. </w:t>
      </w:r>
      <w:r>
        <w:rPr>
          <w:rFonts w:ascii="宋体" w:hAnsi="宋体" w:eastAsia="宋体" w:cs="宋体"/>
          <w:color w:val="000000"/>
          <w:sz w:val="21"/>
          <w:szCs w:val="21"/>
        </w:rPr>
        <w:t>培养酵母菌时，划线后立即将接种的平板倒置，放入恒温培养箱中培养</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B. </w:t>
      </w:r>
      <w:r>
        <w:rPr>
          <w:rFonts w:ascii="宋体" w:hAnsi="宋体" w:eastAsia="宋体" w:cs="宋体"/>
          <w:color w:val="000000"/>
          <w:sz w:val="21"/>
          <w:szCs w:val="21"/>
        </w:rPr>
        <w:t>探究生长素促进生根的最适浓度时，把插条基部放在高浓度溶液中</w:t>
      </w:r>
      <w:r>
        <w:rPr>
          <w:rFonts w:ascii="Times New Roman" w:hAnsi="Times New Roman" w:eastAsia="Times New Roman" w:cs="Times New Roman"/>
          <w:color w:val="000000"/>
          <w:sz w:val="21"/>
          <w:szCs w:val="21"/>
        </w:rPr>
        <w:t>30min</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C. </w:t>
      </w:r>
      <w:r>
        <w:rPr>
          <w:rFonts w:ascii="宋体" w:hAnsi="宋体" w:eastAsia="宋体" w:cs="宋体"/>
          <w:color w:val="000000"/>
          <w:sz w:val="21"/>
          <w:szCs w:val="21"/>
        </w:rPr>
        <w:t>调查土壤小动物类群的丰富度实验中，在用取样器取样之前先要随机设置样方</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D. </w:t>
      </w:r>
      <w:r>
        <w:rPr>
          <w:rFonts w:ascii="宋体" w:hAnsi="宋体" w:eastAsia="宋体" w:cs="宋体"/>
          <w:color w:val="000000"/>
          <w:sz w:val="21"/>
          <w:szCs w:val="21"/>
        </w:rPr>
        <w:t>探究土壤微生物的分解作用实验中，对照组的土壤应做消毒处理</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5. </w:t>
      </w:r>
      <w:r>
        <w:rPr>
          <w:rFonts w:ascii="宋体" w:hAnsi="宋体" w:eastAsia="宋体" w:cs="宋体"/>
          <w:color w:val="000000"/>
          <w:sz w:val="21"/>
          <w:szCs w:val="21"/>
        </w:rPr>
        <w:t>下列有关植物激素和植物生长调节剂在生产实践中应用的叙述，错误的是（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A. </w:t>
      </w:r>
      <w:r>
        <w:rPr>
          <w:rFonts w:ascii="宋体" w:hAnsi="宋体" w:eastAsia="宋体" w:cs="宋体"/>
          <w:color w:val="000000"/>
          <w:sz w:val="21"/>
          <w:szCs w:val="21"/>
        </w:rPr>
        <w:t>用一定浓度的</w:t>
      </w:r>
      <w:r>
        <w:rPr>
          <w:rFonts w:ascii="Times New Roman" w:hAnsi="Times New Roman" w:eastAsia="Times New Roman" w:cs="Times New Roman"/>
          <w:color w:val="000000"/>
          <w:sz w:val="21"/>
          <w:szCs w:val="21"/>
        </w:rPr>
        <w:t>2</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4-D</w:t>
      </w:r>
      <w:r>
        <w:rPr>
          <w:rFonts w:ascii="宋体" w:hAnsi="宋体" w:eastAsia="宋体" w:cs="宋体"/>
          <w:color w:val="000000"/>
          <w:sz w:val="21"/>
          <w:szCs w:val="21"/>
        </w:rPr>
        <w:t>溶液喷洒棉花植株不能解除顶端优势</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B. </w:t>
      </w:r>
      <w:r>
        <w:rPr>
          <w:rFonts w:ascii="宋体" w:hAnsi="宋体" w:eastAsia="宋体" w:cs="宋体"/>
          <w:color w:val="000000"/>
          <w:sz w:val="21"/>
          <w:szCs w:val="21"/>
        </w:rPr>
        <w:t>脱落酸与脱落酸受体结合后可抑制细胞分裂、促进气孔的关闭等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C. </w:t>
      </w:r>
      <w:r>
        <w:rPr>
          <w:rFonts w:ascii="宋体" w:hAnsi="宋体" w:eastAsia="宋体" w:cs="宋体"/>
          <w:color w:val="000000"/>
          <w:sz w:val="21"/>
          <w:szCs w:val="21"/>
        </w:rPr>
        <w:t>乙烯会加速草莓果实的成熟，使得采摘后的草莓硬度降低，软化加剧</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D. </w:t>
      </w:r>
      <w:r>
        <w:rPr>
          <w:rFonts w:ascii="宋体" w:hAnsi="宋体" w:eastAsia="宋体" w:cs="宋体"/>
          <w:color w:val="000000"/>
          <w:sz w:val="21"/>
          <w:szCs w:val="21"/>
        </w:rPr>
        <w:t>细胞分裂素直接参与细胞代谢时，表现出微量高效的调节特点</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6. </w:t>
      </w:r>
      <w:r>
        <w:rPr>
          <w:rFonts w:ascii="Times New Roman" w:hAnsi="Times New Roman" w:eastAsia="Times New Roman" w:cs="Times New Roman"/>
          <w:color w:val="000000"/>
          <w:sz w:val="21"/>
          <w:szCs w:val="21"/>
        </w:rPr>
        <w:t>2023</w:t>
      </w:r>
      <w:r>
        <w:rPr>
          <w:rFonts w:ascii="宋体" w:hAnsi="宋体" w:eastAsia="宋体" w:cs="宋体"/>
          <w:color w:val="000000"/>
          <w:sz w:val="21"/>
          <w:szCs w:val="21"/>
        </w:rPr>
        <w:t>年</w:t>
      </w:r>
      <w:r>
        <w:rPr>
          <w:rFonts w:ascii="Times New Roman" w:hAnsi="Times New Roman" w:eastAsia="Times New Roman" w:cs="Times New Roman"/>
          <w:color w:val="000000"/>
          <w:sz w:val="21"/>
          <w:szCs w:val="21"/>
        </w:rPr>
        <w:t>12</w:t>
      </w:r>
      <w:r>
        <w:rPr>
          <w:rFonts w:ascii="宋体" w:hAnsi="宋体" w:eastAsia="宋体" w:cs="宋体"/>
          <w:color w:val="000000"/>
          <w:sz w:val="21"/>
          <w:szCs w:val="21"/>
        </w:rPr>
        <w:t>月</w:t>
      </w:r>
      <w:r>
        <w:rPr>
          <w:rFonts w:ascii="Times New Roman" w:hAnsi="Times New Roman" w:eastAsia="Times New Roman" w:cs="Times New Roman"/>
          <w:color w:val="000000"/>
          <w:sz w:val="21"/>
          <w:szCs w:val="21"/>
        </w:rPr>
        <w:t>19</w:t>
      </w:r>
      <w:r>
        <w:rPr>
          <w:rFonts w:ascii="宋体" w:hAnsi="宋体" w:eastAsia="宋体" w:cs="宋体"/>
          <w:color w:val="000000"/>
          <w:sz w:val="21"/>
          <w:szCs w:val="21"/>
        </w:rPr>
        <w:t>日，甘肃临夏州积石山县</w:t>
      </w:r>
      <w:r>
        <w:rPr>
          <w:rFonts w:ascii="Times New Roman" w:hAnsi="Times New Roman" w:eastAsia="Times New Roman" w:cs="Times New Roman"/>
          <w:color w:val="000000"/>
          <w:sz w:val="21"/>
          <w:szCs w:val="21"/>
        </w:rPr>
        <w:t>6.2</w:t>
      </w:r>
      <w:r>
        <w:rPr>
          <w:rFonts w:ascii="宋体" w:hAnsi="宋体" w:eastAsia="宋体" w:cs="宋体"/>
          <w:color w:val="000000"/>
          <w:sz w:val="21"/>
          <w:szCs w:val="21"/>
        </w:rPr>
        <w:t>级地震发生，造成该县受损严重，地震后的修复需要生物措施与工程措施相结合。相关叙述错误的是（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A. </w:t>
      </w:r>
      <w:r>
        <w:rPr>
          <w:rFonts w:ascii="宋体" w:hAnsi="宋体" w:eastAsia="宋体" w:cs="宋体"/>
          <w:color w:val="000000"/>
          <w:sz w:val="21"/>
          <w:szCs w:val="21"/>
        </w:rPr>
        <w:t>地震等自然灾害会影响种群密度，属于非密度制约因素</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B. </w:t>
      </w:r>
      <w:r>
        <w:rPr>
          <w:rFonts w:ascii="宋体" w:hAnsi="宋体" w:eastAsia="宋体" w:cs="宋体"/>
          <w:color w:val="000000"/>
          <w:sz w:val="21"/>
          <w:szCs w:val="21"/>
        </w:rPr>
        <w:t>修复时根据当地环境选择合适的植物种植，体现了生态工程的协调原理</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C. </w:t>
      </w:r>
      <w:r>
        <w:rPr>
          <w:rFonts w:ascii="宋体" w:hAnsi="宋体" w:eastAsia="宋体" w:cs="宋体"/>
          <w:color w:val="000000"/>
          <w:sz w:val="21"/>
          <w:szCs w:val="21"/>
        </w:rPr>
        <w:t>对灾区进行植树造林、植被保护有利于增加生态系统的抵抗力稳定性</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D. </w:t>
      </w:r>
      <w:r>
        <w:rPr>
          <w:rFonts w:ascii="宋体" w:hAnsi="宋体" w:eastAsia="宋体" w:cs="宋体"/>
          <w:color w:val="000000"/>
          <w:sz w:val="21"/>
          <w:szCs w:val="21"/>
        </w:rPr>
        <w:t>地震后灾区使用太阳能、地热能、风能有利于增大生态足迹</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7. </w:t>
      </w:r>
      <w:r>
        <w:rPr>
          <w:rFonts w:ascii="宋体" w:hAnsi="宋体" w:eastAsia="宋体" w:cs="宋体"/>
          <w:color w:val="000000"/>
          <w:sz w:val="21"/>
          <w:szCs w:val="21"/>
        </w:rPr>
        <w:t>“绿水青山就是金山银山”，只有正确处理人、资源和环境的关系，走可持续发展之路，才是人类唯一正确的选择。相关叙述错误的是（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A. </w:t>
      </w:r>
      <w:r>
        <w:rPr>
          <w:rFonts w:ascii="宋体" w:hAnsi="宋体" w:eastAsia="宋体" w:cs="宋体"/>
          <w:color w:val="000000"/>
          <w:sz w:val="21"/>
          <w:szCs w:val="21"/>
        </w:rPr>
        <w:t>人类活动使得某些野生动物的栖息地碎片化，严重威胁了这些动物的生存</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B. </w:t>
      </w:r>
      <w:r>
        <w:rPr>
          <w:rFonts w:ascii="宋体" w:hAnsi="宋体" w:eastAsia="宋体" w:cs="宋体"/>
          <w:color w:val="000000"/>
          <w:sz w:val="21"/>
          <w:szCs w:val="21"/>
        </w:rPr>
        <w:t>建立植物园、动物园以及濒危动物繁育中心等就地保护措施有利于对生物多样进行保护</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C. </w:t>
      </w:r>
      <w:r>
        <w:rPr>
          <w:rFonts w:ascii="宋体" w:hAnsi="宋体" w:eastAsia="宋体" w:cs="宋体"/>
          <w:color w:val="000000"/>
          <w:sz w:val="21"/>
          <w:szCs w:val="21"/>
        </w:rPr>
        <w:t>从生物多样性的价值来分析，湿地生态系统具有蓄洪抗旱、净化水质等间接价值</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D. </w:t>
      </w:r>
      <w:r>
        <w:rPr>
          <w:rFonts w:ascii="宋体" w:hAnsi="宋体" w:eastAsia="宋体" w:cs="宋体"/>
          <w:color w:val="000000"/>
          <w:sz w:val="21"/>
          <w:szCs w:val="21"/>
        </w:rPr>
        <w:t>保护海洋生态系统，并不是完全禁渔，而是适时地、有计划地捕捞成鱼</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8. </w:t>
      </w:r>
      <w:r>
        <w:rPr>
          <w:rFonts w:ascii="宋体" w:hAnsi="宋体" w:eastAsia="宋体" w:cs="宋体"/>
          <w:color w:val="000000"/>
          <w:sz w:val="21"/>
          <w:szCs w:val="21"/>
        </w:rPr>
        <w:t>科学家在研究银泉自然生态系统能量流动时，统计了各营养级的同化量以及呼吸作用以热能散失的能量（</w:t>
      </w:r>
      <w:r>
        <w:rPr>
          <w:rFonts w:ascii="Times New Roman" w:hAnsi="Times New Roman" w:eastAsia="Times New Roman" w:cs="Times New Roman"/>
          <w:color w:val="000000"/>
          <w:sz w:val="21"/>
          <w:szCs w:val="21"/>
        </w:rPr>
        <w:t>kJ·m</w:t>
      </w:r>
      <w:r>
        <w:rPr>
          <w:color w:val="000000"/>
          <w:sz w:val="21"/>
          <w:szCs w:val="21"/>
          <w:vertAlign w:val="superscript"/>
        </w:rPr>
        <w:t>-2</w:t>
      </w:r>
      <w:r>
        <w:rPr>
          <w:rFonts w:ascii="Times New Roman" w:hAnsi="Times New Roman" w:eastAsia="Times New Roman" w:cs="Times New Roman"/>
          <w:color w:val="000000"/>
          <w:sz w:val="21"/>
          <w:szCs w:val="21"/>
        </w:rPr>
        <w:t>·a</w:t>
      </w:r>
      <w:r>
        <w:rPr>
          <w:color w:val="000000"/>
          <w:sz w:val="21"/>
          <w:szCs w:val="21"/>
          <w:vertAlign w:val="superscript"/>
        </w:rPr>
        <w:t>-l</w:t>
      </w:r>
      <w:r>
        <w:rPr>
          <w:rFonts w:ascii="宋体" w:hAnsi="宋体" w:eastAsia="宋体" w:cs="宋体"/>
          <w:color w:val="000000"/>
          <w:sz w:val="21"/>
          <w:szCs w:val="21"/>
        </w:rPr>
        <w:t>）结果如图所示。相关叙述正确的是（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drawing>
          <wp:inline distT="0" distB="0" distL="114300" distR="114300">
            <wp:extent cx="3624580" cy="904240"/>
            <wp:effectExtent l="0" t="0" r="7620" b="1016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3624580" cy="904240"/>
                    </a:xfrm>
                    <a:prstGeom prst="rect">
                      <a:avLst/>
                    </a:prstGeom>
                  </pic:spPr>
                </pic:pic>
              </a:graphicData>
            </a:graphic>
          </wp:inline>
        </w:drawing>
      </w:r>
      <w:r>
        <w:rPr>
          <w:color w:val="000000"/>
          <w:sz w:val="21"/>
          <w:szCs w:val="21"/>
        </w:rPr>
        <w:t xml:space="preserve">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A. </w:t>
      </w:r>
      <w:r>
        <w:rPr>
          <w:rFonts w:ascii="宋体" w:hAnsi="宋体" w:eastAsia="宋体" w:cs="宋体"/>
          <w:color w:val="000000"/>
          <w:sz w:val="21"/>
          <w:szCs w:val="21"/>
        </w:rPr>
        <w:t>输入该生态系统的总能量为各营养级同化量的总和</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B. </w:t>
      </w:r>
      <w:r>
        <w:rPr>
          <w:rFonts w:ascii="宋体" w:hAnsi="宋体" w:eastAsia="宋体" w:cs="宋体"/>
          <w:color w:val="000000"/>
          <w:sz w:val="21"/>
          <w:szCs w:val="21"/>
        </w:rPr>
        <w:t>第一营养级与第二营养级之间的能量传递效率约为</w:t>
      </w:r>
      <w:r>
        <w:rPr>
          <w:rFonts w:ascii="Times New Roman" w:hAnsi="Times New Roman" w:eastAsia="Times New Roman" w:cs="Times New Roman"/>
          <w:color w:val="000000"/>
          <w:sz w:val="21"/>
          <w:szCs w:val="21"/>
        </w:rPr>
        <w:t>16.2%</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C. </w:t>
      </w:r>
      <w:r>
        <w:rPr>
          <w:rFonts w:ascii="宋体" w:hAnsi="宋体" w:eastAsia="宋体" w:cs="宋体"/>
          <w:color w:val="000000"/>
          <w:sz w:val="21"/>
          <w:szCs w:val="21"/>
        </w:rPr>
        <w:t>第二营养级同化的能量的去向还包括其粪便和遗体残骸流向分解者的能量</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D. </w:t>
      </w:r>
      <w:r>
        <w:rPr>
          <w:rFonts w:ascii="宋体" w:hAnsi="宋体" w:eastAsia="宋体" w:cs="宋体"/>
          <w:color w:val="000000"/>
          <w:sz w:val="21"/>
          <w:szCs w:val="21"/>
        </w:rPr>
        <w:t>第三营养级用于自身生长发育繁殖的能量约为</w:t>
      </w:r>
      <w:r>
        <w:rPr>
          <w:rFonts w:ascii="Times New Roman" w:hAnsi="Times New Roman" w:eastAsia="Times New Roman" w:cs="Times New Roman"/>
          <w:color w:val="000000"/>
          <w:sz w:val="21"/>
          <w:szCs w:val="21"/>
        </w:rPr>
        <w:t>180kJ·m</w:t>
      </w:r>
      <w:r>
        <w:rPr>
          <w:color w:val="000000"/>
          <w:sz w:val="21"/>
          <w:szCs w:val="21"/>
          <w:vertAlign w:val="superscript"/>
        </w:rPr>
        <w:t>-2</w:t>
      </w:r>
      <w:r>
        <w:rPr>
          <w:rFonts w:ascii="Times New Roman" w:hAnsi="Times New Roman" w:eastAsia="Times New Roman" w:cs="Times New Roman"/>
          <w:color w:val="000000"/>
          <w:sz w:val="21"/>
          <w:szCs w:val="21"/>
        </w:rPr>
        <w:t>·a</w:t>
      </w:r>
      <w:r>
        <w:rPr>
          <w:color w:val="000000"/>
          <w:sz w:val="21"/>
          <w:szCs w:val="21"/>
          <w:vertAlign w:val="superscript"/>
        </w:rPr>
        <w:t>-1</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drawing>
          <wp:anchor distT="0" distB="0" distL="114300" distR="114300" simplePos="0" relativeHeight="251660288" behindDoc="0" locked="0" layoutInCell="1" allowOverlap="1">
            <wp:simplePos x="0" y="0"/>
            <wp:positionH relativeFrom="column">
              <wp:posOffset>4022090</wp:posOffset>
            </wp:positionH>
            <wp:positionV relativeFrom="paragraph">
              <wp:posOffset>278765</wp:posOffset>
            </wp:positionV>
            <wp:extent cx="1774190" cy="1658620"/>
            <wp:effectExtent l="0" t="0" r="3810" b="5080"/>
            <wp:wrapSquare wrapText="bothSides"/>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774190" cy="1658620"/>
                    </a:xfrm>
                    <a:prstGeom prst="rect">
                      <a:avLst/>
                    </a:prstGeom>
                  </pic:spPr>
                </pic:pic>
              </a:graphicData>
            </a:graphic>
          </wp:anchor>
        </w:drawing>
      </w:r>
      <w:r>
        <w:rPr>
          <w:color w:val="000000"/>
          <w:sz w:val="21"/>
          <w:szCs w:val="21"/>
        </w:rPr>
        <w:t xml:space="preserve">9. </w:t>
      </w:r>
      <w:r>
        <w:rPr>
          <w:rFonts w:ascii="宋体" w:hAnsi="宋体" w:eastAsia="宋体" w:cs="宋体"/>
          <w:color w:val="000000"/>
          <w:sz w:val="21"/>
          <w:szCs w:val="21"/>
        </w:rPr>
        <w:t>将酵母菌培养液稀释</w:t>
      </w:r>
      <w:r>
        <w:rPr>
          <w:rFonts w:ascii="Times New Roman" w:hAnsi="Times New Roman" w:eastAsia="Times New Roman" w:cs="Times New Roman"/>
          <w:color w:val="000000"/>
          <w:sz w:val="21"/>
          <w:szCs w:val="21"/>
        </w:rPr>
        <w:t>1000</w:t>
      </w:r>
      <w:r>
        <w:rPr>
          <w:rFonts w:ascii="宋体" w:hAnsi="宋体" w:eastAsia="宋体" w:cs="宋体"/>
          <w:color w:val="000000"/>
          <w:sz w:val="21"/>
          <w:szCs w:val="21"/>
        </w:rPr>
        <w:t>倍后，用血细胞计数板（规格为</w:t>
      </w:r>
      <w:r>
        <w:rPr>
          <w:rFonts w:ascii="Times New Roman" w:hAnsi="Times New Roman" w:eastAsia="Times New Roman" w:cs="Times New Roman"/>
          <w:color w:val="000000"/>
          <w:sz w:val="21"/>
          <w:szCs w:val="21"/>
        </w:rPr>
        <w:t>1mm×1mm×0.1mm</w:t>
      </w:r>
      <w:r>
        <w:rPr>
          <w:rFonts w:ascii="宋体" w:hAnsi="宋体" w:eastAsia="宋体" w:cs="宋体"/>
          <w:color w:val="000000"/>
          <w:sz w:val="21"/>
          <w:szCs w:val="21"/>
        </w:rPr>
        <w:t>）进行计数，观察到菌体分布如图。相关叙述正确的是（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A. </w:t>
      </w:r>
      <w:r>
        <w:rPr>
          <w:rFonts w:ascii="宋体" w:hAnsi="宋体" w:eastAsia="宋体" w:cs="宋体"/>
          <w:color w:val="000000"/>
          <w:sz w:val="21"/>
          <w:szCs w:val="21"/>
        </w:rPr>
        <w:t>酵母菌进行计数时，应先将培养液振荡摇匀，再进行抽样检测</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B. </w:t>
      </w:r>
      <w:r>
        <w:rPr>
          <w:rFonts w:ascii="宋体" w:hAnsi="宋体" w:eastAsia="宋体" w:cs="宋体"/>
          <w:color w:val="000000"/>
          <w:sz w:val="21"/>
          <w:szCs w:val="21"/>
        </w:rPr>
        <w:t>先沿凹槽边缘滴加样液，再在计数室上方加盖玻片</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C. </w:t>
      </w:r>
      <w:r>
        <w:rPr>
          <w:rFonts w:ascii="宋体" w:hAnsi="宋体" w:eastAsia="宋体" w:cs="宋体"/>
          <w:color w:val="000000"/>
          <w:sz w:val="21"/>
          <w:szCs w:val="21"/>
        </w:rPr>
        <w:t>为避免酵母菌增殖影响实验结果，滴加培养液后需立即计数</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D. </w:t>
      </w:r>
      <w:r>
        <w:rPr>
          <w:rFonts w:ascii="Times New Roman" w:hAnsi="Times New Roman" w:eastAsia="Times New Roman" w:cs="Times New Roman"/>
          <w:color w:val="000000"/>
          <w:sz w:val="21"/>
          <w:szCs w:val="21"/>
        </w:rPr>
        <w:t>10mL</w:t>
      </w:r>
      <w:r>
        <w:rPr>
          <w:rFonts w:ascii="宋体" w:hAnsi="宋体" w:eastAsia="宋体" w:cs="宋体"/>
          <w:color w:val="000000"/>
          <w:sz w:val="21"/>
          <w:szCs w:val="21"/>
        </w:rPr>
        <w:t>酵母菌培养液含有的酵母菌数量约为</w:t>
      </w:r>
      <w:r>
        <w:rPr>
          <w:rFonts w:ascii="Times New Roman" w:hAnsi="Times New Roman" w:eastAsia="Times New Roman" w:cs="Times New Roman"/>
          <w:color w:val="000000"/>
          <w:sz w:val="21"/>
          <w:szCs w:val="21"/>
        </w:rPr>
        <w:t>10</w:t>
      </w:r>
      <w:r>
        <w:rPr>
          <w:color w:val="000000"/>
          <w:sz w:val="21"/>
          <w:szCs w:val="21"/>
          <w:vertAlign w:val="superscript"/>
        </w:rPr>
        <w:t>9</w:t>
      </w:r>
      <w:r>
        <w:rPr>
          <w:rFonts w:ascii="宋体" w:hAnsi="宋体" w:eastAsia="宋体" w:cs="宋体"/>
          <w:color w:val="000000"/>
          <w:sz w:val="21"/>
          <w:szCs w:val="21"/>
        </w:rPr>
        <w:t>个</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10. </w:t>
      </w:r>
      <w:r>
        <w:rPr>
          <w:rFonts w:ascii="宋体" w:hAnsi="宋体" w:eastAsia="宋体" w:cs="宋体"/>
          <w:color w:val="000000"/>
          <w:sz w:val="21"/>
          <w:szCs w:val="21"/>
        </w:rPr>
        <w:t>下列有关生态系统信息传递的叙述错误的是（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A. </w:t>
      </w:r>
      <w:r>
        <w:rPr>
          <w:rFonts w:ascii="宋体" w:hAnsi="宋体" w:eastAsia="宋体" w:cs="宋体"/>
          <w:color w:val="000000"/>
          <w:sz w:val="21"/>
          <w:szCs w:val="21"/>
        </w:rPr>
        <w:t>完整的信息传递过程包括信息源、信道和信息受体</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B. </w:t>
      </w:r>
      <w:r>
        <w:rPr>
          <w:rFonts w:ascii="宋体" w:hAnsi="宋体" w:eastAsia="宋体" w:cs="宋体"/>
          <w:color w:val="000000"/>
          <w:sz w:val="21"/>
          <w:szCs w:val="21"/>
        </w:rPr>
        <w:t>信息传递可以发生在生物之间以及生物与非生物环境之间</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C. </w:t>
      </w:r>
      <w:r>
        <w:rPr>
          <w:rFonts w:ascii="宋体" w:hAnsi="宋体" w:eastAsia="宋体" w:cs="宋体"/>
          <w:color w:val="000000"/>
          <w:sz w:val="21"/>
          <w:szCs w:val="21"/>
        </w:rPr>
        <w:t>生态系统信息通过食物链（网）传递，具有单向循环的特点</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D. </w:t>
      </w:r>
      <w:r>
        <w:rPr>
          <w:rFonts w:ascii="宋体" w:hAnsi="宋体" w:eastAsia="宋体" w:cs="宋体"/>
          <w:color w:val="000000"/>
          <w:sz w:val="21"/>
          <w:szCs w:val="21"/>
        </w:rPr>
        <w:t>信息传递可以维持种群繁衍、调节种间关系，维持生态平衡</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drawing>
          <wp:anchor distT="0" distB="0" distL="114300" distR="114300" simplePos="0" relativeHeight="251661312" behindDoc="0" locked="0" layoutInCell="1" allowOverlap="1">
            <wp:simplePos x="0" y="0"/>
            <wp:positionH relativeFrom="column">
              <wp:posOffset>4044315</wp:posOffset>
            </wp:positionH>
            <wp:positionV relativeFrom="paragraph">
              <wp:posOffset>2540</wp:posOffset>
            </wp:positionV>
            <wp:extent cx="2371090" cy="1721485"/>
            <wp:effectExtent l="0" t="0" r="3810" b="5715"/>
            <wp:wrapSquare wrapText="bothSides"/>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371090" cy="1721485"/>
                    </a:xfrm>
                    <a:prstGeom prst="rect">
                      <a:avLst/>
                    </a:prstGeom>
                  </pic:spPr>
                </pic:pic>
              </a:graphicData>
            </a:graphic>
          </wp:anchor>
        </w:drawing>
      </w:r>
      <w:r>
        <w:rPr>
          <w:color w:val="000000"/>
          <w:sz w:val="21"/>
          <w:szCs w:val="21"/>
        </w:rPr>
        <w:t xml:space="preserve">11. </w:t>
      </w:r>
      <w:r>
        <w:rPr>
          <w:rFonts w:ascii="宋体" w:hAnsi="宋体" w:eastAsia="宋体" w:cs="宋体"/>
          <w:color w:val="000000"/>
          <w:sz w:val="21"/>
          <w:szCs w:val="21"/>
        </w:rPr>
        <w:t>神经系统对内分泌功能</w:t>
      </w:r>
      <w:r>
        <w:rPr>
          <w:rFonts w:ascii="宋体" w:hAnsi="宋体" w:eastAsia="宋体" w:cs="宋体"/>
          <w:color w:val="000000"/>
          <w:position w:val="0"/>
          <w:sz w:val="21"/>
          <w:szCs w:val="21"/>
        </w:rPr>
        <w:drawing>
          <wp:inline distT="0" distB="0" distL="114300" distR="114300">
            <wp:extent cx="133350" cy="177800"/>
            <wp:effectExtent l="0" t="0" r="635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eastAsia="宋体" w:cs="宋体"/>
          <w:color w:val="000000"/>
          <w:sz w:val="21"/>
          <w:szCs w:val="21"/>
        </w:rPr>
        <w:t>调节有甲、乙、丙三种调节方式，相关叙述错误的是（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A. </w:t>
      </w:r>
      <w:r>
        <w:rPr>
          <w:rFonts w:ascii="宋体" w:hAnsi="宋体" w:eastAsia="宋体" w:cs="宋体"/>
          <w:color w:val="000000"/>
          <w:sz w:val="21"/>
          <w:szCs w:val="21"/>
        </w:rPr>
        <w:t>甲模式中的靶腺可能是甲状腺、胰腺、卵巢、睾丸等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B. </w:t>
      </w:r>
      <w:r>
        <w:rPr>
          <w:rFonts w:ascii="宋体" w:hAnsi="宋体" w:eastAsia="宋体" w:cs="宋体"/>
          <w:color w:val="000000"/>
          <w:sz w:val="21"/>
          <w:szCs w:val="21"/>
        </w:rPr>
        <w:t>甲模式可放大激素的调节效应，有利于精细调控，从而维持机体的稳态</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C. </w:t>
      </w:r>
      <w:r>
        <w:rPr>
          <w:rFonts w:ascii="宋体" w:hAnsi="宋体" w:eastAsia="宋体" w:cs="宋体"/>
          <w:color w:val="000000"/>
          <w:sz w:val="21"/>
          <w:szCs w:val="21"/>
        </w:rPr>
        <w:t>抗利尿激素的合成和分泌是通过乙模式调节，当食用的食物过咸时其分泌量增加</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D. </w:t>
      </w:r>
      <w:r>
        <w:rPr>
          <w:rFonts w:ascii="宋体" w:hAnsi="宋体" w:eastAsia="宋体" w:cs="宋体"/>
          <w:color w:val="000000"/>
          <w:sz w:val="21"/>
          <w:szCs w:val="21"/>
        </w:rPr>
        <w:t>血糖浓度降低可以通过丙模式调节使得胰高血糖素的分泌增加</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12. </w:t>
      </w:r>
      <w:r>
        <w:rPr>
          <w:rFonts w:ascii="宋体" w:hAnsi="宋体" w:eastAsia="宋体" w:cs="宋体"/>
          <w:color w:val="000000"/>
          <w:sz w:val="21"/>
          <w:szCs w:val="21"/>
        </w:rPr>
        <w:t>海安里下河地区的湿地公园内总植树量达</w:t>
      </w:r>
      <w:r>
        <w:rPr>
          <w:rFonts w:ascii="Times New Roman" w:hAnsi="Times New Roman" w:eastAsia="Times New Roman" w:cs="Times New Roman"/>
          <w:color w:val="000000"/>
          <w:sz w:val="21"/>
          <w:szCs w:val="21"/>
        </w:rPr>
        <w:t>6</w:t>
      </w:r>
      <w:r>
        <w:rPr>
          <w:rFonts w:ascii="宋体" w:hAnsi="宋体" w:eastAsia="宋体" w:cs="宋体"/>
          <w:color w:val="000000"/>
          <w:sz w:val="21"/>
          <w:szCs w:val="21"/>
        </w:rPr>
        <w:t>万多株，水生植物占水面面积的</w:t>
      </w:r>
      <w:r>
        <w:rPr>
          <w:rFonts w:ascii="Times New Roman" w:hAnsi="Times New Roman" w:eastAsia="Times New Roman" w:cs="Times New Roman"/>
          <w:color w:val="000000"/>
          <w:sz w:val="21"/>
          <w:szCs w:val="21"/>
        </w:rPr>
        <w:t>1/3</w:t>
      </w:r>
      <w:r>
        <w:rPr>
          <w:rFonts w:ascii="宋体" w:hAnsi="宋体" w:eastAsia="宋体" w:cs="宋体"/>
          <w:color w:val="000000"/>
          <w:sz w:val="21"/>
          <w:szCs w:val="21"/>
        </w:rPr>
        <w:t>，区内有</w:t>
      </w:r>
      <w:r>
        <w:rPr>
          <w:rFonts w:ascii="Times New Roman" w:hAnsi="Times New Roman" w:eastAsia="Times New Roman" w:cs="Times New Roman"/>
          <w:color w:val="000000"/>
          <w:sz w:val="21"/>
          <w:szCs w:val="21"/>
        </w:rPr>
        <w:t>120</w:t>
      </w:r>
      <w:r>
        <w:rPr>
          <w:rFonts w:ascii="宋体" w:hAnsi="宋体" w:eastAsia="宋体" w:cs="宋体"/>
          <w:color w:val="000000"/>
          <w:sz w:val="21"/>
          <w:szCs w:val="21"/>
        </w:rPr>
        <w:t>亩自然鸟林。相关叙述错误的是（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A. </w:t>
      </w:r>
      <w:r>
        <w:rPr>
          <w:rFonts w:ascii="宋体" w:hAnsi="宋体" w:eastAsia="宋体" w:cs="宋体"/>
          <w:color w:val="000000"/>
          <w:sz w:val="21"/>
          <w:szCs w:val="21"/>
        </w:rPr>
        <w:t>调查湿地公园中物种丰富度属于群落水平研究的问题</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B. </w:t>
      </w:r>
      <w:r>
        <w:rPr>
          <w:rFonts w:ascii="宋体" w:hAnsi="宋体" w:eastAsia="宋体" w:cs="宋体"/>
          <w:color w:val="000000"/>
          <w:sz w:val="21"/>
          <w:szCs w:val="21"/>
        </w:rPr>
        <w:t>湿地公园中物种丰富，自我调节能力较强</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C. </w:t>
      </w:r>
      <w:r>
        <w:rPr>
          <w:rFonts w:ascii="宋体" w:hAnsi="宋体" w:eastAsia="宋体" w:cs="宋体"/>
          <w:color w:val="000000"/>
          <w:sz w:val="21"/>
          <w:szCs w:val="21"/>
        </w:rPr>
        <w:t>高低错落的水杉树形成了群落的垂直结构</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D. </w:t>
      </w:r>
      <w:r>
        <w:rPr>
          <w:rFonts w:ascii="宋体" w:hAnsi="宋体" w:eastAsia="宋体" w:cs="宋体"/>
          <w:color w:val="000000"/>
          <w:sz w:val="21"/>
          <w:szCs w:val="21"/>
        </w:rPr>
        <w:t>湿地公园群落的重要特征是群落的物种组成</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color w:val="000000"/>
          <w:sz w:val="21"/>
          <w:szCs w:val="21"/>
        </w:rPr>
        <w:t xml:space="preserve">13. </w:t>
      </w:r>
      <w:r>
        <w:rPr>
          <w:sz w:val="21"/>
          <w:szCs w:val="21"/>
        </w:rPr>
        <w:t>研究人员发现某除草剂（含氮有机物）不易被降解，且长期使用会导致土壤污染。为修复被该除草剂污染的土壤，科研人员按下图程序选育能降解该除草剂的细菌，已知含该除草剂的培养基不透明。下列叙述正确的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rFonts w:ascii="Times New Roman" w:hAnsi="Times New Roman" w:eastAsia="Times New Roman" w:cs="Times New Roman"/>
          <w:strike w:val="0"/>
          <w:kern w:val="0"/>
          <w:sz w:val="21"/>
          <w:szCs w:val="21"/>
          <w:u w:val="none"/>
        </w:rPr>
        <w:drawing>
          <wp:inline distT="0" distB="0" distL="114300" distR="114300">
            <wp:extent cx="5114925" cy="838200"/>
            <wp:effectExtent l="0" t="0" r="3175" b="0"/>
            <wp:docPr id="2" name="图片 2" descr="@@@c6e16c627f0e48818327cfb910eab2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6e16c627f0e48818327cfb910eab2d5"/>
                    <pic:cNvPicPr>
                      <a:picLocks noChangeAspect="1"/>
                    </pic:cNvPicPr>
                  </pic:nvPicPr>
                  <pic:blipFill>
                    <a:blip r:embed="rId15"/>
                    <a:stretch>
                      <a:fillRect/>
                    </a:stretch>
                  </pic:blipFill>
                  <pic:spPr>
                    <a:xfrm>
                      <a:off x="0" y="0"/>
                      <a:ext cx="5114925" cy="8382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A．操作Ⅱ应该将接种环灼烧灭菌5次</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B．经过一段时间的培养，培养皿中应该只存在有透明圈的菌落</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C．图中操作I的接种方法为平板划线法，该方法可用于细菌计数</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sz w:val="21"/>
          <w:szCs w:val="21"/>
        </w:rPr>
        <w:t>D．筛选能降解该除草剂的细菌的培养基中该除草剂是唯一的氮源</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14. </w:t>
      </w:r>
      <w:r>
        <w:rPr>
          <w:rFonts w:ascii="宋体" w:hAnsi="宋体" w:eastAsia="宋体" w:cs="宋体"/>
          <w:color w:val="000000"/>
          <w:sz w:val="21"/>
          <w:szCs w:val="21"/>
        </w:rPr>
        <w:t>生长素的发现应该追溯到达尔文父子，他们所做实验如图，相关叙述正确的是（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drawing>
          <wp:inline distT="0" distB="0" distL="114300" distR="114300">
            <wp:extent cx="3300730" cy="1290320"/>
            <wp:effectExtent l="0" t="0" r="1270" b="508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3300730" cy="12903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A. </w:t>
      </w:r>
      <w:r>
        <w:rPr>
          <w:rFonts w:ascii="宋体" w:hAnsi="宋体" w:eastAsia="宋体" w:cs="宋体"/>
          <w:color w:val="000000"/>
          <w:sz w:val="21"/>
          <w:szCs w:val="21"/>
        </w:rPr>
        <w:t>①、②、③、⑥是对照组，④、⑤是实验组</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B. </w:t>
      </w:r>
      <w:r>
        <w:rPr>
          <w:rFonts w:ascii="宋体" w:hAnsi="宋体" w:eastAsia="宋体" w:cs="宋体"/>
          <w:color w:val="000000"/>
          <w:sz w:val="21"/>
          <w:szCs w:val="21"/>
        </w:rPr>
        <w:t>①②③的结果证明弯曲生长与胚芽鞘尖端及单侧光有关</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C. </w:t>
      </w:r>
      <w:r>
        <w:rPr>
          <w:rFonts w:ascii="宋体" w:hAnsi="宋体" w:eastAsia="宋体" w:cs="宋体"/>
          <w:color w:val="000000"/>
          <w:sz w:val="21"/>
          <w:szCs w:val="21"/>
        </w:rPr>
        <w:t>④⑤⑥的结果证明背光侧生长素的浓度高于向光侧</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sz w:val="21"/>
          <w:szCs w:val="21"/>
        </w:rPr>
      </w:pPr>
      <w:r>
        <w:rPr>
          <w:color w:val="000000"/>
          <w:sz w:val="21"/>
          <w:szCs w:val="21"/>
        </w:rPr>
        <w:t xml:space="preserve">D. </w:t>
      </w:r>
      <w:r>
        <w:rPr>
          <w:rFonts w:ascii="宋体" w:hAnsi="宋体" w:eastAsia="宋体" w:cs="宋体"/>
          <w:color w:val="000000"/>
          <w:sz w:val="21"/>
          <w:szCs w:val="21"/>
        </w:rPr>
        <w:t>一系列实验结果证明有某种化学物质从胚芽鞘尖端传递到了下面</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b/>
          <w:color w:val="000000"/>
          <w:sz w:val="21"/>
          <w:szCs w:val="21"/>
        </w:rPr>
      </w:pPr>
      <w:r>
        <w:rPr>
          <w:rFonts w:ascii="宋体" w:hAnsi="宋体" w:eastAsia="宋体" w:cs="宋体"/>
          <w:b/>
          <w:color w:val="000000"/>
          <w:sz w:val="21"/>
          <w:szCs w:val="21"/>
        </w:rPr>
        <w:t>二、多项选择题：本部分包括</w:t>
      </w:r>
      <w:r>
        <w:rPr>
          <w:rFonts w:hint="eastAsia" w:cs="Times New Roman"/>
          <w:b/>
          <w:color w:val="000000"/>
          <w:sz w:val="21"/>
          <w:szCs w:val="21"/>
          <w:lang w:val="en-US" w:eastAsia="zh-CN"/>
        </w:rPr>
        <w:t>5</w:t>
      </w:r>
      <w:r>
        <w:rPr>
          <w:rFonts w:ascii="宋体" w:hAnsi="宋体" w:eastAsia="宋体" w:cs="宋体"/>
          <w:b/>
          <w:color w:val="000000"/>
          <w:sz w:val="21"/>
          <w:szCs w:val="21"/>
        </w:rPr>
        <w:t>题，每题</w:t>
      </w:r>
      <w:r>
        <w:rPr>
          <w:rFonts w:ascii="Times New Roman" w:hAnsi="Times New Roman" w:eastAsia="Times New Roman" w:cs="Times New Roman"/>
          <w:b/>
          <w:color w:val="000000"/>
          <w:sz w:val="21"/>
          <w:szCs w:val="21"/>
        </w:rPr>
        <w:t>3</w:t>
      </w:r>
      <w:r>
        <w:rPr>
          <w:rFonts w:ascii="宋体" w:hAnsi="宋体" w:eastAsia="宋体" w:cs="宋体"/>
          <w:b/>
          <w:color w:val="000000"/>
          <w:sz w:val="21"/>
          <w:szCs w:val="21"/>
        </w:rPr>
        <w:t>分，共计</w:t>
      </w:r>
      <w:r>
        <w:rPr>
          <w:rFonts w:ascii="Times New Roman" w:hAnsi="Times New Roman" w:eastAsia="Times New Roman" w:cs="Times New Roman"/>
          <w:b/>
          <w:color w:val="000000"/>
          <w:sz w:val="21"/>
          <w:szCs w:val="21"/>
        </w:rPr>
        <w:t>1</w:t>
      </w:r>
      <w:r>
        <w:rPr>
          <w:rFonts w:hint="eastAsia" w:cs="Times New Roman"/>
          <w:b/>
          <w:color w:val="000000"/>
          <w:sz w:val="21"/>
          <w:szCs w:val="21"/>
          <w:lang w:val="en-US" w:eastAsia="zh-CN"/>
        </w:rPr>
        <w:t>5</w:t>
      </w:r>
      <w:r>
        <w:rPr>
          <w:rFonts w:ascii="宋体" w:hAnsi="宋体" w:eastAsia="宋体" w:cs="宋体"/>
          <w:b/>
          <w:color w:val="000000"/>
          <w:sz w:val="21"/>
          <w:szCs w:val="21"/>
        </w:rPr>
        <w:t>分。</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15. </w:t>
      </w:r>
      <w:r>
        <w:rPr>
          <w:rFonts w:ascii="宋体" w:hAnsi="宋体" w:eastAsia="宋体" w:cs="宋体"/>
          <w:color w:val="000000"/>
          <w:sz w:val="21"/>
          <w:szCs w:val="21"/>
        </w:rPr>
        <w:t>科研人员研究了不同浓度的脱落酸、烯效唑、多效唑对高温胁迫（</w:t>
      </w:r>
      <w:r>
        <w:rPr>
          <w:rFonts w:ascii="Times New Roman" w:hAnsi="Times New Roman" w:eastAsia="Times New Roman" w:cs="Times New Roman"/>
          <w:color w:val="000000"/>
          <w:sz w:val="21"/>
          <w:szCs w:val="21"/>
        </w:rPr>
        <w:t>35℃</w:t>
      </w:r>
      <w:r>
        <w:rPr>
          <w:rFonts w:ascii="宋体" w:hAnsi="宋体" w:eastAsia="宋体" w:cs="宋体"/>
          <w:color w:val="000000"/>
          <w:sz w:val="21"/>
          <w:szCs w:val="21"/>
        </w:rPr>
        <w:t>）下水培绿萝生长的影响，实验结果见下图</w:t>
      </w:r>
      <w:r>
        <w:rPr>
          <w:rFonts w:ascii="Times New Roman" w:hAnsi="Times New Roman" w:eastAsia="Times New Roman" w:cs="Times New Roman"/>
          <w:color w:val="000000"/>
          <w:sz w:val="21"/>
          <w:szCs w:val="21"/>
        </w:rPr>
        <w:t>1</w:t>
      </w:r>
      <w:r>
        <w:rPr>
          <w:rFonts w:ascii="宋体" w:hAnsi="宋体" w:eastAsia="宋体" w:cs="宋体"/>
          <w:color w:val="000000"/>
          <w:sz w:val="21"/>
          <w:szCs w:val="21"/>
        </w:rPr>
        <w:t>和图</w:t>
      </w:r>
      <w:r>
        <w:rPr>
          <w:rFonts w:ascii="Times New Roman" w:hAnsi="Times New Roman" w:eastAsia="Times New Roman" w:cs="Times New Roman"/>
          <w:color w:val="000000"/>
          <w:sz w:val="21"/>
          <w:szCs w:val="21"/>
        </w:rPr>
        <w:t>2</w:t>
      </w:r>
      <w:r>
        <w:rPr>
          <w:rFonts w:ascii="宋体" w:hAnsi="宋体" w:eastAsia="宋体" w:cs="宋体"/>
          <w:color w:val="000000"/>
          <w:sz w:val="21"/>
          <w:szCs w:val="21"/>
        </w:rPr>
        <w:t>，其中</w:t>
      </w:r>
      <w:r>
        <w:rPr>
          <w:rFonts w:ascii="Times New Roman" w:hAnsi="Times New Roman" w:eastAsia="Times New Roman" w:cs="Times New Roman"/>
          <w:color w:val="000000"/>
          <w:sz w:val="21"/>
          <w:szCs w:val="21"/>
        </w:rPr>
        <w:t>A</w:t>
      </w:r>
      <w:r>
        <w:rPr>
          <w:rFonts w:ascii="宋体" w:hAnsi="宋体" w:eastAsia="宋体" w:cs="宋体"/>
          <w:color w:val="000000"/>
          <w:sz w:val="21"/>
          <w:szCs w:val="21"/>
        </w:rPr>
        <w:t>组为脱落酸处理组，</w:t>
      </w:r>
      <w:r>
        <w:rPr>
          <w:rFonts w:ascii="Times New Roman" w:hAnsi="Times New Roman" w:eastAsia="Times New Roman" w:cs="Times New Roman"/>
          <w:color w:val="000000"/>
          <w:sz w:val="21"/>
          <w:szCs w:val="21"/>
        </w:rPr>
        <w:t>A1-A3</w:t>
      </w:r>
      <w:r>
        <w:rPr>
          <w:rFonts w:ascii="宋体" w:hAnsi="宋体" w:eastAsia="宋体" w:cs="宋体"/>
          <w:color w:val="000000"/>
          <w:sz w:val="21"/>
          <w:szCs w:val="21"/>
        </w:rPr>
        <w:t>浓度分别为</w:t>
      </w:r>
      <w:r>
        <w:rPr>
          <w:rFonts w:ascii="Times New Roman" w:hAnsi="Times New Roman" w:eastAsia="Times New Roman" w:cs="Times New Roman"/>
          <w:color w:val="000000"/>
          <w:sz w:val="21"/>
          <w:szCs w:val="21"/>
        </w:rPr>
        <w:t>0.5</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1.5</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2.5mg·L</w:t>
      </w:r>
      <w:r>
        <w:rPr>
          <w:color w:val="000000"/>
          <w:sz w:val="21"/>
          <w:szCs w:val="21"/>
          <w:vertAlign w:val="superscript"/>
        </w:rPr>
        <w:t>-1</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B</w:t>
      </w:r>
      <w:r>
        <w:rPr>
          <w:rFonts w:ascii="宋体" w:hAnsi="宋体" w:eastAsia="宋体" w:cs="宋体"/>
          <w:color w:val="000000"/>
          <w:sz w:val="21"/>
          <w:szCs w:val="21"/>
        </w:rPr>
        <w:t>组为烯效唑处理组，</w:t>
      </w:r>
      <w:r>
        <w:rPr>
          <w:rFonts w:ascii="Times New Roman" w:hAnsi="Times New Roman" w:eastAsia="Times New Roman" w:cs="Times New Roman"/>
          <w:color w:val="000000"/>
          <w:sz w:val="21"/>
          <w:szCs w:val="21"/>
        </w:rPr>
        <w:t>B1-B3</w:t>
      </w:r>
      <w:r>
        <w:rPr>
          <w:rFonts w:ascii="宋体" w:hAnsi="宋体" w:eastAsia="宋体" w:cs="宋体"/>
          <w:color w:val="000000"/>
          <w:sz w:val="21"/>
          <w:szCs w:val="21"/>
        </w:rPr>
        <w:t>的浓度分别分</w:t>
      </w:r>
      <w:r>
        <w:rPr>
          <w:rFonts w:ascii="Times New Roman" w:hAnsi="Times New Roman" w:eastAsia="Times New Roman" w:cs="Times New Roman"/>
          <w:color w:val="000000"/>
          <w:sz w:val="21"/>
          <w:szCs w:val="21"/>
        </w:rPr>
        <w:t>0.5</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2.0</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8.0mg·L</w:t>
      </w:r>
      <w:r>
        <w:rPr>
          <w:color w:val="000000"/>
          <w:sz w:val="21"/>
          <w:szCs w:val="21"/>
          <w:vertAlign w:val="superscript"/>
        </w:rPr>
        <w:t>-1</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C</w:t>
      </w:r>
      <w:r>
        <w:rPr>
          <w:rFonts w:ascii="宋体" w:hAnsi="宋体" w:eastAsia="宋体" w:cs="宋体"/>
          <w:color w:val="000000"/>
          <w:sz w:val="21"/>
          <w:szCs w:val="21"/>
        </w:rPr>
        <w:t>组为多效唑处理组，</w:t>
      </w:r>
      <w:r>
        <w:rPr>
          <w:rFonts w:ascii="Times New Roman" w:hAnsi="Times New Roman" w:eastAsia="Times New Roman" w:cs="Times New Roman"/>
          <w:color w:val="000000"/>
          <w:sz w:val="21"/>
          <w:szCs w:val="21"/>
        </w:rPr>
        <w:t>C1-C3</w:t>
      </w:r>
      <w:r>
        <w:rPr>
          <w:rFonts w:ascii="宋体" w:hAnsi="宋体" w:eastAsia="宋体" w:cs="宋体"/>
          <w:color w:val="000000"/>
          <w:sz w:val="21"/>
          <w:szCs w:val="21"/>
        </w:rPr>
        <w:t>的浓度为</w:t>
      </w:r>
      <w:r>
        <w:rPr>
          <w:rFonts w:ascii="Times New Roman" w:hAnsi="Times New Roman" w:eastAsia="Times New Roman" w:cs="Times New Roman"/>
          <w:color w:val="000000"/>
          <w:sz w:val="21"/>
          <w:szCs w:val="21"/>
        </w:rPr>
        <w:t>0.5</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2.0</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8.0mg·L</w:t>
      </w:r>
      <w:r>
        <w:rPr>
          <w:color w:val="000000"/>
          <w:sz w:val="21"/>
          <w:szCs w:val="21"/>
          <w:vertAlign w:val="superscript"/>
        </w:rPr>
        <w:t>-1</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CK1</w:t>
      </w:r>
      <w:r>
        <w:rPr>
          <w:rFonts w:ascii="宋体" w:hAnsi="宋体" w:eastAsia="宋体" w:cs="宋体"/>
          <w:color w:val="000000"/>
          <w:sz w:val="21"/>
          <w:szCs w:val="21"/>
        </w:rPr>
        <w:t>为</w:t>
      </w:r>
      <w:r>
        <w:rPr>
          <w:rFonts w:ascii="Times New Roman" w:hAnsi="Times New Roman" w:eastAsia="Times New Roman" w:cs="Times New Roman"/>
          <w:color w:val="000000"/>
          <w:sz w:val="21"/>
          <w:szCs w:val="21"/>
        </w:rPr>
        <w:t>35℃</w:t>
      </w:r>
      <w:r>
        <w:rPr>
          <w:rFonts w:ascii="宋体" w:hAnsi="宋体" w:eastAsia="宋体" w:cs="宋体"/>
          <w:color w:val="000000"/>
          <w:sz w:val="21"/>
          <w:szCs w:val="21"/>
        </w:rPr>
        <w:t>对照、</w:t>
      </w:r>
      <w:r>
        <w:rPr>
          <w:rFonts w:ascii="Times New Roman" w:hAnsi="Times New Roman" w:eastAsia="Times New Roman" w:cs="Times New Roman"/>
          <w:color w:val="000000"/>
          <w:sz w:val="21"/>
          <w:szCs w:val="21"/>
        </w:rPr>
        <w:t>CK2</w:t>
      </w:r>
      <w:r>
        <w:rPr>
          <w:rFonts w:ascii="宋体" w:hAnsi="宋体" w:eastAsia="宋体" w:cs="宋体"/>
          <w:color w:val="000000"/>
          <w:sz w:val="21"/>
          <w:szCs w:val="21"/>
        </w:rPr>
        <w:t>为</w:t>
      </w:r>
      <w:r>
        <w:rPr>
          <w:rFonts w:ascii="Times New Roman" w:hAnsi="Times New Roman" w:eastAsia="Times New Roman" w:cs="Times New Roman"/>
          <w:color w:val="000000"/>
          <w:sz w:val="21"/>
          <w:szCs w:val="21"/>
        </w:rPr>
        <w:t>25℃</w:t>
      </w:r>
      <w:r>
        <w:rPr>
          <w:rFonts w:ascii="宋体" w:hAnsi="宋体" w:eastAsia="宋体" w:cs="宋体"/>
          <w:color w:val="000000"/>
          <w:sz w:val="21"/>
          <w:szCs w:val="21"/>
        </w:rPr>
        <w:t>对照，根据下图，相关叙述正确的是（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drawing>
          <wp:inline distT="0" distB="0" distL="114300" distR="114300">
            <wp:extent cx="2655570" cy="174117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2655570" cy="1741170"/>
                    </a:xfrm>
                    <a:prstGeom prst="rect">
                      <a:avLst/>
                    </a:prstGeom>
                  </pic:spPr>
                </pic:pic>
              </a:graphicData>
            </a:graphic>
          </wp:inline>
        </w:drawing>
      </w:r>
      <w:r>
        <w:rPr>
          <w:rFonts w:hint="eastAsia"/>
          <w:color w:val="000000"/>
          <w:sz w:val="21"/>
          <w:szCs w:val="21"/>
          <w:lang w:val="en-US" w:eastAsia="zh-CN"/>
        </w:rPr>
        <w:t xml:space="preserve">   </w:t>
      </w:r>
      <w:r>
        <w:rPr>
          <w:color w:val="000000"/>
          <w:sz w:val="21"/>
          <w:szCs w:val="21"/>
        </w:rPr>
        <w:drawing>
          <wp:inline distT="0" distB="0" distL="114300" distR="114300">
            <wp:extent cx="2720340" cy="174434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2720340" cy="17443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A. </w:t>
      </w:r>
      <w:r>
        <w:rPr>
          <w:rFonts w:ascii="宋体" w:hAnsi="宋体" w:eastAsia="宋体" w:cs="宋体"/>
          <w:color w:val="000000"/>
          <w:sz w:val="21"/>
          <w:szCs w:val="21"/>
        </w:rPr>
        <w:t>本实验中植物生长调节剂的种类和浓度属于实验的自变量</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B. </w:t>
      </w:r>
      <w:r>
        <w:rPr>
          <w:rFonts w:ascii="宋体" w:hAnsi="宋体" w:eastAsia="宋体" w:cs="宋体"/>
          <w:color w:val="000000"/>
          <w:sz w:val="21"/>
          <w:szCs w:val="21"/>
        </w:rPr>
        <w:t>高温胁迫使得绿萝的叶和根的生长受到明显的抑制</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C. </w:t>
      </w:r>
      <w:r>
        <w:rPr>
          <w:rFonts w:ascii="Times New Roman" w:hAnsi="Times New Roman" w:eastAsia="Times New Roman" w:cs="Times New Roman"/>
          <w:color w:val="000000"/>
          <w:sz w:val="21"/>
          <w:szCs w:val="21"/>
        </w:rPr>
        <w:t>0.5mg·L</w:t>
      </w:r>
      <w:r>
        <w:rPr>
          <w:color w:val="000000"/>
          <w:sz w:val="21"/>
          <w:szCs w:val="21"/>
          <w:vertAlign w:val="superscript"/>
        </w:rPr>
        <w:t>-1</w:t>
      </w:r>
      <w:r>
        <w:rPr>
          <w:rFonts w:ascii="宋体" w:hAnsi="宋体" w:eastAsia="宋体" w:cs="宋体"/>
          <w:color w:val="000000"/>
          <w:sz w:val="21"/>
          <w:szCs w:val="21"/>
        </w:rPr>
        <w:t>的多效唑处理绿萝能有效缓解高温胁迫对绿萝叶和根生长的抑制</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D. </w:t>
      </w:r>
      <w:r>
        <w:rPr>
          <w:rFonts w:ascii="Times New Roman" w:hAnsi="Times New Roman" w:eastAsia="Times New Roman" w:cs="Times New Roman"/>
          <w:color w:val="000000"/>
          <w:sz w:val="21"/>
          <w:szCs w:val="21"/>
        </w:rPr>
        <w:t>2.5mg·L</w:t>
      </w:r>
      <w:r>
        <w:rPr>
          <w:color w:val="000000"/>
          <w:sz w:val="21"/>
          <w:szCs w:val="21"/>
          <w:vertAlign w:val="superscript"/>
        </w:rPr>
        <w:t>-1</w:t>
      </w:r>
      <w:r>
        <w:rPr>
          <w:rFonts w:ascii="宋体" w:hAnsi="宋体" w:eastAsia="宋体" w:cs="宋体"/>
          <w:color w:val="000000"/>
          <w:sz w:val="21"/>
          <w:szCs w:val="21"/>
        </w:rPr>
        <w:t>的脱落酸和</w:t>
      </w:r>
      <w:r>
        <w:rPr>
          <w:rFonts w:ascii="Times New Roman" w:hAnsi="Times New Roman" w:eastAsia="Times New Roman" w:cs="Times New Roman"/>
          <w:color w:val="000000"/>
          <w:sz w:val="21"/>
          <w:szCs w:val="21"/>
        </w:rPr>
        <w:t>2.0mg·L</w:t>
      </w:r>
      <w:r>
        <w:rPr>
          <w:color w:val="000000"/>
          <w:sz w:val="21"/>
          <w:szCs w:val="21"/>
          <w:vertAlign w:val="superscript"/>
        </w:rPr>
        <w:t>-1</w:t>
      </w:r>
      <w:r>
        <w:rPr>
          <w:rFonts w:ascii="宋体" w:hAnsi="宋体" w:eastAsia="宋体" w:cs="宋体"/>
          <w:color w:val="000000"/>
          <w:sz w:val="21"/>
          <w:szCs w:val="21"/>
        </w:rPr>
        <w:t>烯效唑共同处理绿萝，对高温胁迫的缓解效果更明显</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16. </w:t>
      </w:r>
      <w:r>
        <w:rPr>
          <w:rFonts w:ascii="宋体" w:hAnsi="宋体" w:eastAsia="宋体" w:cs="宋体"/>
          <w:color w:val="000000"/>
          <w:sz w:val="21"/>
          <w:szCs w:val="21"/>
        </w:rPr>
        <w:t>下丘脑热敏神经元感受阈的高低决定体温的高低，这个阈值称为体温调定点。人体正常生理状态下体温调定点为</w:t>
      </w:r>
      <w:r>
        <w:rPr>
          <w:rFonts w:ascii="Times New Roman" w:hAnsi="Times New Roman" w:eastAsia="Times New Roman" w:cs="Times New Roman"/>
          <w:color w:val="000000"/>
          <w:sz w:val="21"/>
          <w:szCs w:val="21"/>
        </w:rPr>
        <w:t>37℃</w:t>
      </w:r>
      <w:r>
        <w:rPr>
          <w:rFonts w:ascii="宋体" w:hAnsi="宋体" w:eastAsia="宋体" w:cs="宋体"/>
          <w:color w:val="000000"/>
          <w:sz w:val="21"/>
          <w:szCs w:val="21"/>
        </w:rPr>
        <w:t>。若某病原体侵入人体内环境，使体温调定点升高到</w:t>
      </w:r>
      <w:r>
        <w:rPr>
          <w:rFonts w:ascii="Times New Roman" w:hAnsi="Times New Roman" w:eastAsia="Times New Roman" w:cs="Times New Roman"/>
          <w:color w:val="000000"/>
          <w:sz w:val="21"/>
          <w:szCs w:val="21"/>
        </w:rPr>
        <w:t>38.5℃</w:t>
      </w:r>
      <w:r>
        <w:rPr>
          <w:rFonts w:ascii="宋体" w:hAnsi="宋体" w:eastAsia="宋体" w:cs="宋体"/>
          <w:color w:val="000000"/>
          <w:sz w:val="21"/>
          <w:szCs w:val="21"/>
        </w:rPr>
        <w:t>，相关叙述正确的是（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A. </w:t>
      </w:r>
      <w:r>
        <w:rPr>
          <w:rFonts w:ascii="宋体" w:hAnsi="宋体" w:eastAsia="宋体" w:cs="宋体"/>
          <w:color w:val="000000"/>
          <w:sz w:val="21"/>
          <w:szCs w:val="21"/>
        </w:rPr>
        <w:t>体温调定点上移后，人体内甲状腺激素分泌会增多</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B. </w:t>
      </w:r>
      <w:r>
        <w:rPr>
          <w:rFonts w:ascii="宋体" w:hAnsi="宋体" w:eastAsia="宋体" w:cs="宋体"/>
          <w:color w:val="000000"/>
          <w:sz w:val="21"/>
          <w:szCs w:val="21"/>
        </w:rPr>
        <w:t>感冒“发烧”持续</w:t>
      </w:r>
      <w:r>
        <w:rPr>
          <w:rFonts w:ascii="Times New Roman" w:hAnsi="Times New Roman" w:eastAsia="Times New Roman" w:cs="Times New Roman"/>
          <w:color w:val="000000"/>
          <w:sz w:val="21"/>
          <w:szCs w:val="21"/>
        </w:rPr>
        <w:t>38.5℃</w:t>
      </w:r>
      <w:r>
        <w:rPr>
          <w:rFonts w:ascii="宋体" w:hAnsi="宋体" w:eastAsia="宋体" w:cs="宋体"/>
          <w:color w:val="000000"/>
          <w:sz w:val="21"/>
          <w:szCs w:val="21"/>
        </w:rPr>
        <w:t>不退的原因是机体产热量大于散热量</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C. </w:t>
      </w:r>
      <w:r>
        <w:rPr>
          <w:rFonts w:ascii="宋体" w:hAnsi="宋体" w:eastAsia="宋体" w:cs="宋体"/>
          <w:color w:val="000000"/>
          <w:sz w:val="21"/>
          <w:szCs w:val="21"/>
        </w:rPr>
        <w:t>“退烧”时，机体主要通过毛细血管舒张、出汗增多来增加散热</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D. </w:t>
      </w:r>
      <w:r>
        <w:rPr>
          <w:rFonts w:ascii="宋体" w:hAnsi="宋体" w:eastAsia="宋体" w:cs="宋体"/>
          <w:color w:val="000000"/>
          <w:sz w:val="21"/>
          <w:szCs w:val="21"/>
        </w:rPr>
        <w:t>机体发热时内环境稳态失衡，酶活性均降低，产热增多，散热减少</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17. </w:t>
      </w:r>
      <w:r>
        <w:rPr>
          <w:rFonts w:ascii="宋体" w:hAnsi="宋体" w:eastAsia="宋体" w:cs="宋体"/>
          <w:color w:val="000000"/>
          <w:sz w:val="21"/>
          <w:szCs w:val="21"/>
        </w:rPr>
        <w:t>科研人员以裙带菜下脚料根茎为原料，以粮食加工副产品为辅料，通过微生物发酵技术开发裙带菜酱油，下图是其生产工艺流程，相关叙述正确的是（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drawing>
          <wp:inline distT="0" distB="0" distL="114300" distR="114300">
            <wp:extent cx="6007100" cy="694690"/>
            <wp:effectExtent l="0" t="0" r="0" b="381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6007100" cy="6946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A. </w:t>
      </w:r>
      <w:r>
        <w:rPr>
          <w:rFonts w:ascii="宋体" w:hAnsi="宋体" w:eastAsia="宋体" w:cs="宋体"/>
          <w:color w:val="000000"/>
          <w:sz w:val="21"/>
          <w:szCs w:val="21"/>
        </w:rPr>
        <w:t>裙带菜茎、麦麸、豆粕和小麦混合物中的淀粉均可为米曲霉提供碳源和氮源</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B. </w:t>
      </w:r>
      <w:r>
        <w:rPr>
          <w:rFonts w:ascii="宋体" w:hAnsi="宋体" w:eastAsia="宋体" w:cs="宋体"/>
          <w:color w:val="000000"/>
          <w:sz w:val="21"/>
          <w:szCs w:val="21"/>
        </w:rPr>
        <w:t>蒸料可以杀死原料中的部分杂菌，蒸料后冷却的目的是防止高温杀死菌种</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C. </w:t>
      </w:r>
      <w:r>
        <w:rPr>
          <w:rFonts w:ascii="宋体" w:hAnsi="宋体" w:eastAsia="宋体" w:cs="宋体"/>
          <w:color w:val="000000"/>
          <w:sz w:val="21"/>
          <w:szCs w:val="21"/>
        </w:rPr>
        <w:t>通风培养有利于黑曲霉和米曲霉快速生长繁殖、分泌多种水解酶</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 xml:space="preserve">D. </w:t>
      </w:r>
      <w:r>
        <w:rPr>
          <w:rFonts w:ascii="宋体" w:hAnsi="宋体" w:eastAsia="宋体" w:cs="宋体"/>
          <w:color w:val="000000"/>
          <w:sz w:val="21"/>
          <w:szCs w:val="21"/>
        </w:rPr>
        <w:t>盐浓度过低容易引起酸醅腐败，浓度过高会抑制蛋白酶活性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color w:val="000000"/>
          <w:sz w:val="21"/>
          <w:szCs w:val="21"/>
        </w:rPr>
        <w:t>18.</w:t>
      </w:r>
      <w:r>
        <w:rPr>
          <w:rFonts w:hint="eastAsia"/>
          <w:color w:val="000000"/>
          <w:sz w:val="21"/>
          <w:szCs w:val="21"/>
          <w:lang w:val="en-US" w:eastAsia="zh-CN"/>
        </w:rPr>
        <w:t xml:space="preserve"> </w:t>
      </w:r>
      <w:r>
        <w:rPr>
          <w:sz w:val="21"/>
          <w:szCs w:val="21"/>
        </w:rPr>
        <w:t>某生物小组欲利用以下培养基从土壤中分离某种微生物，下列对该实验的操作及结果分析正确的是（</w:t>
      </w:r>
      <w:r>
        <w:rPr>
          <w:rFonts w:ascii="Times New Roman" w:hAnsi="Times New Roman" w:eastAsia="Times New Roman" w:cs="Times New Roman"/>
          <w:kern w:val="0"/>
          <w:sz w:val="21"/>
          <w:szCs w:val="21"/>
        </w:rPr>
        <w:t>    </w:t>
      </w:r>
      <w:r>
        <w:rPr>
          <w:sz w:val="21"/>
          <w:szCs w:val="21"/>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870"/>
        <w:gridCol w:w="948"/>
        <w:gridCol w:w="797"/>
        <w:gridCol w:w="684"/>
        <w:gridCol w:w="833"/>
        <w:gridCol w:w="1415"/>
        <w:gridCol w:w="952"/>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szCs w:val="21"/>
              </w:rPr>
            </w:pPr>
            <w:r>
              <w:rPr>
                <w:sz w:val="21"/>
                <w:szCs w:val="21"/>
              </w:rPr>
              <w:t>成分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szCs w:val="21"/>
              </w:rPr>
            </w:pPr>
            <w:r>
              <w:rPr>
                <w:sz w:val="21"/>
                <w:szCs w:val="21"/>
              </w:rPr>
              <w:t>葡萄糖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szCs w:val="21"/>
              </w:rPr>
            </w:pPr>
            <w:r>
              <w:rPr>
                <w:sz w:val="21"/>
                <w:szCs w:val="21"/>
              </w:rPr>
              <w:t>K</w:t>
            </w:r>
            <w:r>
              <w:rPr>
                <w:sz w:val="21"/>
                <w:szCs w:val="21"/>
                <w:vertAlign w:val="subscript"/>
              </w:rPr>
              <w:t>2</w:t>
            </w:r>
            <w:r>
              <w:rPr>
                <w:sz w:val="21"/>
                <w:szCs w:val="21"/>
              </w:rPr>
              <w:t>HPO</w:t>
            </w:r>
            <w:r>
              <w:rPr>
                <w:sz w:val="21"/>
                <w:szCs w:val="21"/>
                <w:vertAlign w:val="subscript"/>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szCs w:val="21"/>
              </w:rPr>
            </w:pPr>
            <w:r>
              <w:rPr>
                <w:sz w:val="21"/>
                <w:szCs w:val="21"/>
              </w:rPr>
              <w:t>K</w:t>
            </w:r>
            <w:r>
              <w:rPr>
                <w:sz w:val="21"/>
                <w:szCs w:val="21"/>
                <w:vertAlign w:val="subscript"/>
              </w:rPr>
              <w:t>2</w:t>
            </w:r>
            <w:r>
              <w:rPr>
                <w:sz w:val="21"/>
                <w:szCs w:val="21"/>
              </w:rPr>
              <w:t>SO</w:t>
            </w:r>
            <w:r>
              <w:rPr>
                <w:sz w:val="21"/>
                <w:szCs w:val="21"/>
                <w:vertAlign w:val="subscript"/>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szCs w:val="21"/>
              </w:rPr>
            </w:pPr>
            <w:r>
              <w:rPr>
                <w:sz w:val="21"/>
                <w:szCs w:val="21"/>
              </w:rPr>
              <w:t>NaCl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szCs w:val="21"/>
              </w:rPr>
            </w:pPr>
            <w:r>
              <w:rPr>
                <w:sz w:val="21"/>
                <w:szCs w:val="21"/>
              </w:rPr>
              <w:t>CaCO</w:t>
            </w:r>
            <w:r>
              <w:rPr>
                <w:sz w:val="21"/>
                <w:szCs w:val="21"/>
                <w:vertAlign w:val="subscript"/>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szCs w:val="21"/>
              </w:rPr>
            </w:pPr>
            <w:r>
              <w:rPr>
                <w:sz w:val="21"/>
                <w:szCs w:val="21"/>
              </w:rPr>
              <w:t>MgSO</w:t>
            </w:r>
            <w:r>
              <w:rPr>
                <w:sz w:val="21"/>
                <w:szCs w:val="21"/>
                <w:vertAlign w:val="subscript"/>
              </w:rPr>
              <w:t>4</w:t>
            </w:r>
            <w:r>
              <w:rPr>
                <w:sz w:val="21"/>
                <w:szCs w:val="21"/>
              </w:rPr>
              <w:t>·7H</w:t>
            </w:r>
            <w:r>
              <w:rPr>
                <w:sz w:val="21"/>
                <w:szCs w:val="21"/>
                <w:vertAlign w:val="subscript"/>
              </w:rPr>
              <w:t>2</w:t>
            </w:r>
            <w:r>
              <w:rPr>
                <w:sz w:val="21"/>
                <w:szCs w:val="21"/>
              </w:rPr>
              <w:t>O</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szCs w:val="21"/>
              </w:rPr>
            </w:pPr>
            <w:r>
              <w:rPr>
                <w:sz w:val="21"/>
                <w:szCs w:val="21"/>
              </w:rPr>
              <w:t>蒸馏水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szCs w:val="21"/>
              </w:rPr>
            </w:pPr>
            <w:r>
              <w:rPr>
                <w:sz w:val="21"/>
                <w:szCs w:val="21"/>
              </w:rPr>
              <w:t>琼脂粉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szCs w:val="21"/>
              </w:rPr>
            </w:pPr>
            <w:r>
              <w:rPr>
                <w:sz w:val="21"/>
                <w:szCs w:val="21"/>
              </w:rPr>
              <w:t>含量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szCs w:val="21"/>
              </w:rPr>
            </w:pPr>
            <w:r>
              <w:rPr>
                <w:sz w:val="21"/>
                <w:szCs w:val="21"/>
              </w:rPr>
              <w:t>10g</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szCs w:val="21"/>
              </w:rPr>
            </w:pPr>
            <w:r>
              <w:rPr>
                <w:sz w:val="21"/>
                <w:szCs w:val="21"/>
              </w:rPr>
              <w:t>0.2g</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szCs w:val="21"/>
              </w:rPr>
            </w:pPr>
            <w:r>
              <w:rPr>
                <w:sz w:val="21"/>
                <w:szCs w:val="21"/>
              </w:rPr>
              <w:t>0.2g</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szCs w:val="21"/>
              </w:rPr>
            </w:pPr>
            <w:r>
              <w:rPr>
                <w:sz w:val="21"/>
                <w:szCs w:val="21"/>
              </w:rPr>
              <w:t>0.2g</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szCs w:val="21"/>
              </w:rPr>
            </w:pPr>
            <w:r>
              <w:rPr>
                <w:sz w:val="21"/>
                <w:szCs w:val="21"/>
              </w:rPr>
              <w:t>5g</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szCs w:val="21"/>
              </w:rPr>
            </w:pPr>
            <w:r>
              <w:rPr>
                <w:sz w:val="21"/>
                <w:szCs w:val="21"/>
              </w:rPr>
              <w:t>0.2g</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szCs w:val="21"/>
              </w:rPr>
            </w:pPr>
            <w:r>
              <w:rPr>
                <w:sz w:val="21"/>
                <w:szCs w:val="21"/>
              </w:rPr>
              <w:t>1000mL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szCs w:val="21"/>
              </w:rPr>
            </w:pPr>
            <w:r>
              <w:rPr>
                <w:sz w:val="21"/>
                <w:szCs w:val="21"/>
              </w:rPr>
              <w:t>20g</w:t>
            </w:r>
          </w:p>
        </w:tc>
      </w:tr>
    </w:tbl>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A．配制好的培养基先分装到锥形瓶后再进行高压蒸汽灭菌</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B．该培养基灭菌后需冷却至40℃再进行倒平板操作</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C．用无菌水将土样进行系列稀释，在最后一次稀释后进行涂布接种</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sz w:val="21"/>
          <w:szCs w:val="21"/>
        </w:rPr>
      </w:pPr>
      <w:r>
        <w:rPr>
          <w:sz w:val="21"/>
          <w:szCs w:val="21"/>
        </w:rPr>
        <w:t>D．该无氮培养基可用于硝化细菌等固氮菌的分离与计数</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rPr>
          <w:rFonts w:hint="eastAsia"/>
          <w:sz w:val="21"/>
          <w:szCs w:val="21"/>
          <w:lang w:val="en-US" w:eastAsia="zh-CN"/>
        </w:rPr>
        <w:t xml:space="preserve">19. </w:t>
      </w:r>
      <w:r>
        <w:t>采食减少是动物被感染后的适应性行为，可促进脂肪分解，产生β-羟基丁酸（BHB）为机体供能。研究者用流感病毒（IAV）感染小鼠后统计其采食量并测定血浆中葡萄糖和BHB水平，结果如图1。测定BHB对体外培养的CD4</w:t>
      </w:r>
      <w:r>
        <w:rPr>
          <w:vertAlign w:val="superscript"/>
        </w:rPr>
        <w:t>+</w:t>
      </w:r>
      <w:r>
        <w:t>T细胞（一种辅助性T细胞）增殖及分泌干扰素-γ水平的影响，结果如图2。下列叙述正确的是（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800475" cy="1391285"/>
            <wp:effectExtent l="0" t="0" r="9525" b="18415"/>
            <wp:docPr id="11" name="图片 11" descr="@@@e9d0c69b4f8b4e7e95a9924c3604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9d0c69b4f8b4e7e95a9924c36044931"/>
                    <pic:cNvPicPr>
                      <a:picLocks noChangeAspect="1"/>
                    </pic:cNvPicPr>
                  </pic:nvPicPr>
                  <pic:blipFill>
                    <a:blip r:embed="rId20"/>
                    <a:stretch>
                      <a:fillRect/>
                    </a:stretch>
                  </pic:blipFill>
                  <pic:spPr>
                    <a:xfrm>
                      <a:off x="0" y="0"/>
                      <a:ext cx="3800475" cy="139128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A．小鼠血糖水平与采食量在一定范围内呈现正相关的特征</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B．小鼠感染IAV后副交感神经活动占据优势，胃肠蠕动减弱，采食减少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C．侵入机体的IAV可刺激CD4</w:t>
      </w:r>
      <w:r>
        <w:rPr>
          <w:vertAlign w:val="superscript"/>
        </w:rPr>
        <w:t>+</w:t>
      </w:r>
      <w:r>
        <w:t>T细胞增殖分化为CD8</w:t>
      </w:r>
      <w:r>
        <w:rPr>
          <w:vertAlign w:val="superscript"/>
        </w:rPr>
        <w:t>+</w:t>
      </w:r>
      <w:r>
        <w:t>T细胞（细胞毒性T细胞）</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default" w:eastAsia="宋体"/>
          <w:sz w:val="21"/>
          <w:szCs w:val="21"/>
          <w:lang w:val="en-US" w:eastAsia="zh-CN"/>
        </w:rPr>
      </w:pPr>
      <w:r>
        <w:t>D．采食减少可增加小鼠体内BHB水平，提高特异性免疫功能</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宋体" w:hAnsi="宋体" w:eastAsia="宋体" w:cs="宋体"/>
          <w:b/>
          <w:color w:val="000000"/>
          <w:sz w:val="21"/>
          <w:szCs w:val="21"/>
        </w:rPr>
        <w:t>三、非选择题：本部分包括</w:t>
      </w:r>
      <w:r>
        <w:rPr>
          <w:rFonts w:ascii="Times New Roman" w:hAnsi="Times New Roman" w:eastAsia="Times New Roman" w:cs="Times New Roman"/>
          <w:b/>
          <w:color w:val="000000"/>
          <w:sz w:val="21"/>
          <w:szCs w:val="21"/>
        </w:rPr>
        <w:t>5</w:t>
      </w:r>
      <w:r>
        <w:rPr>
          <w:rFonts w:ascii="宋体" w:hAnsi="宋体" w:eastAsia="宋体" w:cs="宋体"/>
          <w:b/>
          <w:color w:val="000000"/>
          <w:sz w:val="21"/>
          <w:szCs w:val="21"/>
        </w:rPr>
        <w:t>题，共计</w:t>
      </w:r>
      <w:r>
        <w:rPr>
          <w:rFonts w:hint="eastAsia" w:cs="Times New Roman"/>
          <w:b/>
          <w:color w:val="000000"/>
          <w:sz w:val="21"/>
          <w:szCs w:val="21"/>
          <w:lang w:val="en-US" w:eastAsia="zh-CN"/>
        </w:rPr>
        <w:t>57</w:t>
      </w:r>
      <w:r>
        <w:rPr>
          <w:rFonts w:ascii="宋体" w:hAnsi="宋体" w:eastAsia="宋体" w:cs="宋体"/>
          <w:b/>
          <w:color w:val="000000"/>
          <w:sz w:val="21"/>
          <w:szCs w:val="21"/>
        </w:rPr>
        <w:t>分。</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hint="eastAsia"/>
          <w:color w:val="000000"/>
          <w:sz w:val="21"/>
          <w:szCs w:val="21"/>
          <w:lang w:val="en-US" w:eastAsia="zh-CN"/>
        </w:rPr>
        <w:t>20</w:t>
      </w:r>
      <w:r>
        <w:rPr>
          <w:color w:val="000000"/>
          <w:sz w:val="21"/>
          <w:szCs w:val="21"/>
        </w:rPr>
        <w:t xml:space="preserve">. </w:t>
      </w:r>
      <w:r>
        <w:rPr>
          <w:rFonts w:hint="eastAsia"/>
          <w:color w:val="000000"/>
          <w:sz w:val="21"/>
          <w:szCs w:val="21"/>
          <w:lang w:eastAsia="zh-CN"/>
        </w:rPr>
        <w:t>（</w:t>
      </w:r>
      <w:r>
        <w:rPr>
          <w:rFonts w:hint="eastAsia"/>
          <w:color w:val="000000"/>
          <w:sz w:val="21"/>
          <w:szCs w:val="21"/>
          <w:lang w:val="en-US" w:eastAsia="zh-CN"/>
        </w:rPr>
        <w:t>11分）</w:t>
      </w:r>
      <w:r>
        <w:rPr>
          <w:rFonts w:ascii="宋体" w:hAnsi="宋体" w:eastAsia="宋体" w:cs="宋体"/>
          <w:color w:val="000000"/>
          <w:sz w:val="21"/>
          <w:szCs w:val="21"/>
        </w:rPr>
        <w:t>当脑内出现胰岛素抵抗时，细胞中的</w:t>
      </w:r>
      <w:r>
        <w:rPr>
          <w:rFonts w:ascii="Times New Roman" w:hAnsi="Times New Roman" w:eastAsia="Times New Roman" w:cs="Times New Roman"/>
          <w:color w:val="000000"/>
          <w:sz w:val="21"/>
          <w:szCs w:val="21"/>
        </w:rPr>
        <w:t>β</w:t>
      </w:r>
      <w:r>
        <w:rPr>
          <w:rFonts w:ascii="宋体" w:hAnsi="宋体" w:eastAsia="宋体" w:cs="宋体"/>
          <w:color w:val="000000"/>
          <w:sz w:val="21"/>
          <w:szCs w:val="21"/>
        </w:rPr>
        <w:t>淀粉样蛋白（</w:t>
      </w:r>
      <w:r>
        <w:rPr>
          <w:rFonts w:ascii="Times New Roman" w:hAnsi="Times New Roman" w:eastAsia="Times New Roman" w:cs="Times New Roman"/>
          <w:color w:val="000000"/>
          <w:sz w:val="21"/>
          <w:szCs w:val="21"/>
        </w:rPr>
        <w:t>Aβ</w:t>
      </w:r>
      <w:r>
        <w:rPr>
          <w:rFonts w:ascii="宋体" w:hAnsi="宋体" w:eastAsia="宋体" w:cs="宋体"/>
          <w:color w:val="000000"/>
          <w:sz w:val="21"/>
          <w:szCs w:val="21"/>
        </w:rPr>
        <w:t>）含量上升，</w:t>
      </w:r>
      <w:r>
        <w:rPr>
          <w:rFonts w:ascii="Times New Roman" w:hAnsi="Times New Roman" w:eastAsia="Times New Roman" w:cs="Times New Roman"/>
          <w:color w:val="000000"/>
          <w:sz w:val="21"/>
          <w:szCs w:val="21"/>
        </w:rPr>
        <w:t>Aβ</w:t>
      </w:r>
      <w:r>
        <w:rPr>
          <w:rFonts w:ascii="宋体" w:hAnsi="宋体" w:eastAsia="宋体" w:cs="宋体"/>
          <w:color w:val="000000"/>
          <w:sz w:val="21"/>
          <w:szCs w:val="21"/>
        </w:rPr>
        <w:t>会引起线粒体损伤，导致神经元功能障碍，从而引起认知障碍。下图是相关机制，已知谷氨酸与磷酸化的谷氨酸受体结合后</w:t>
      </w:r>
      <w:r>
        <w:rPr>
          <w:rFonts w:ascii="Times New Roman" w:hAnsi="Times New Roman" w:eastAsia="Times New Roman" w:cs="Times New Roman"/>
          <w:color w:val="000000"/>
          <w:sz w:val="21"/>
          <w:szCs w:val="21"/>
        </w:rPr>
        <w:t>Na</w:t>
      </w:r>
      <w:r>
        <w:rPr>
          <w:color w:val="000000"/>
          <w:sz w:val="21"/>
          <w:szCs w:val="21"/>
          <w:vertAlign w:val="superscript"/>
        </w:rPr>
        <w:t>+</w:t>
      </w:r>
      <w:r>
        <w:rPr>
          <w:rFonts w:ascii="宋体" w:hAnsi="宋体" w:eastAsia="宋体" w:cs="宋体"/>
          <w:color w:val="000000"/>
          <w:sz w:val="21"/>
          <w:szCs w:val="21"/>
        </w:rPr>
        <w:t>内流导致突触后膜兴奋，请回答：</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drawing>
          <wp:inline distT="0" distB="0" distL="114300" distR="114300">
            <wp:extent cx="4335780" cy="2108200"/>
            <wp:effectExtent l="0" t="0" r="762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4335780" cy="2108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宋体" w:hAnsi="宋体" w:eastAsia="宋体" w:cs="宋体"/>
          <w:color w:val="000000"/>
          <w:sz w:val="21"/>
          <w:szCs w:val="21"/>
        </w:rPr>
        <w:t>注：</w:t>
      </w:r>
      <w:r>
        <w:rPr>
          <w:color w:val="000000"/>
          <w:sz w:val="21"/>
          <w:szCs w:val="21"/>
        </w:rPr>
        <w:drawing>
          <wp:inline distT="0" distB="0" distL="114300" distR="114300">
            <wp:extent cx="209550" cy="2095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209550" cy="209550"/>
                    </a:xfrm>
                    <a:prstGeom prst="rect">
                      <a:avLst/>
                    </a:prstGeom>
                  </pic:spPr>
                </pic:pic>
              </a:graphicData>
            </a:graphic>
          </wp:inline>
        </w:drawing>
      </w:r>
      <w:r>
        <w:rPr>
          <w:rFonts w:ascii="宋体" w:hAnsi="宋体" w:eastAsia="宋体" w:cs="宋体"/>
          <w:color w:val="000000"/>
          <w:sz w:val="21"/>
          <w:szCs w:val="21"/>
        </w:rPr>
        <w:t>表示抑制，</w:t>
      </w:r>
      <w:r>
        <w:rPr>
          <w:rFonts w:ascii="Times New Roman" w:hAnsi="Times New Roman" w:eastAsia="Times New Roman" w:cs="Times New Roman"/>
          <w:color w:val="000000"/>
          <w:sz w:val="21"/>
          <w:szCs w:val="21"/>
        </w:rPr>
        <w:t>↑</w:t>
      </w:r>
      <w:r>
        <w:rPr>
          <w:rFonts w:ascii="宋体" w:hAnsi="宋体" w:eastAsia="宋体" w:cs="宋体"/>
          <w:color w:val="000000"/>
          <w:sz w:val="21"/>
          <w:szCs w:val="21"/>
        </w:rPr>
        <w:t>表示增加或加快，</w:t>
      </w:r>
      <w:r>
        <w:rPr>
          <w:rFonts w:ascii="Times New Roman" w:hAnsi="Times New Roman" w:eastAsia="Times New Roman" w:cs="Times New Roman"/>
          <w:color w:val="000000"/>
          <w:sz w:val="21"/>
          <w:szCs w:val="21"/>
        </w:rPr>
        <w:t>↓</w:t>
      </w:r>
      <w:r>
        <w:rPr>
          <w:rFonts w:ascii="宋体" w:hAnsi="宋体" w:eastAsia="宋体" w:cs="宋体"/>
          <w:color w:val="000000"/>
          <w:sz w:val="21"/>
          <w:szCs w:val="21"/>
        </w:rPr>
        <w:t>表示降低或减慢</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（1）</w:t>
      </w:r>
      <w:r>
        <w:rPr>
          <w:rFonts w:ascii="宋体" w:hAnsi="宋体" w:eastAsia="宋体" w:cs="宋体"/>
          <w:color w:val="000000"/>
          <w:sz w:val="21"/>
          <w:szCs w:val="21"/>
        </w:rPr>
        <w:t>正常情况下，胰岛素与其受体结合后，可通过信号转导促进</w:t>
      </w:r>
      <w:r>
        <w:rPr>
          <w:color w:val="000000"/>
          <w:sz w:val="21"/>
          <w:szCs w:val="21"/>
        </w:rPr>
        <w:t>____</w:t>
      </w:r>
      <w:r>
        <w:rPr>
          <w:rFonts w:ascii="宋体" w:hAnsi="宋体" w:eastAsia="宋体" w:cs="宋体"/>
          <w:color w:val="000000"/>
          <w:sz w:val="21"/>
          <w:szCs w:val="21"/>
        </w:rPr>
        <w:t>从而促进血糖进入细胞内</w:t>
      </w:r>
      <w:r>
        <w:rPr>
          <w:color w:val="000000"/>
          <w:sz w:val="21"/>
          <w:szCs w:val="21"/>
        </w:rPr>
        <w:t>____</w:t>
      </w:r>
      <w:r>
        <w:rPr>
          <w:rFonts w:ascii="宋体" w:hAnsi="宋体" w:eastAsia="宋体" w:cs="宋体"/>
          <w:color w:val="000000"/>
          <w:sz w:val="21"/>
          <w:szCs w:val="21"/>
        </w:rPr>
        <w:t>、合成糖原或转变为非糖物质。</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（2）</w:t>
      </w:r>
      <w:r>
        <w:rPr>
          <w:rFonts w:ascii="宋体" w:hAnsi="宋体" w:eastAsia="宋体" w:cs="宋体"/>
          <w:color w:val="000000"/>
          <w:sz w:val="21"/>
          <w:szCs w:val="21"/>
        </w:rPr>
        <w:t>发生胰岛素抵抗时，胰岛素与胰岛素受体结合后信号转导下降，导致</w:t>
      </w:r>
      <w:r>
        <w:rPr>
          <w:color w:val="000000"/>
          <w:sz w:val="21"/>
          <w:szCs w:val="21"/>
        </w:rPr>
        <w:t>____</w:t>
      </w:r>
      <w:r>
        <w:rPr>
          <w:rFonts w:ascii="宋体" w:hAnsi="宋体" w:eastAsia="宋体" w:cs="宋体"/>
          <w:color w:val="000000"/>
          <w:sz w:val="21"/>
          <w:szCs w:val="21"/>
        </w:rPr>
        <w:t>活性降低，从而解除了其对</w:t>
      </w:r>
      <w:r>
        <w:rPr>
          <w:color w:val="000000"/>
          <w:sz w:val="21"/>
          <w:szCs w:val="21"/>
        </w:rPr>
        <w:t>____</w:t>
      </w:r>
      <w:r>
        <w:rPr>
          <w:rFonts w:ascii="宋体" w:hAnsi="宋体" w:eastAsia="宋体" w:cs="宋体"/>
          <w:color w:val="000000"/>
          <w:sz w:val="21"/>
          <w:szCs w:val="21"/>
        </w:rPr>
        <w:t>的抑制，进一步引起细胞中的</w:t>
      </w:r>
      <w:r>
        <w:rPr>
          <w:rFonts w:ascii="Times New Roman" w:hAnsi="Times New Roman" w:eastAsia="Times New Roman" w:cs="Times New Roman"/>
          <w:color w:val="000000"/>
          <w:sz w:val="21"/>
          <w:szCs w:val="21"/>
        </w:rPr>
        <w:t>β</w:t>
      </w:r>
      <w:r>
        <w:rPr>
          <w:rFonts w:ascii="宋体" w:hAnsi="宋体" w:eastAsia="宋体" w:cs="宋体"/>
          <w:color w:val="000000"/>
          <w:sz w:val="21"/>
          <w:szCs w:val="21"/>
        </w:rPr>
        <w:t>淀粉样蛋白（</w:t>
      </w:r>
      <w:r>
        <w:rPr>
          <w:rFonts w:ascii="Times New Roman" w:hAnsi="Times New Roman" w:eastAsia="Times New Roman" w:cs="Times New Roman"/>
          <w:color w:val="000000"/>
          <w:sz w:val="21"/>
          <w:szCs w:val="21"/>
        </w:rPr>
        <w:t>Aβ</w:t>
      </w:r>
      <w:r>
        <w:rPr>
          <w:rFonts w:ascii="宋体" w:hAnsi="宋体" w:eastAsia="宋体" w:cs="宋体"/>
          <w:color w:val="000000"/>
          <w:sz w:val="21"/>
          <w:szCs w:val="21"/>
        </w:rPr>
        <w:t>）含量上升，进而引起线粒体损伤。</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（3）</w:t>
      </w:r>
      <w:r>
        <w:rPr>
          <w:rFonts w:ascii="宋体" w:hAnsi="宋体" w:eastAsia="宋体" w:cs="宋体"/>
          <w:color w:val="000000"/>
          <w:sz w:val="21"/>
          <w:szCs w:val="21"/>
        </w:rPr>
        <w:t>线粒体损伤会影响谷氨酸受体磷酸化和神经递质释放的原因是</w:t>
      </w:r>
      <w:r>
        <w:rPr>
          <w:color w:val="000000"/>
          <w:sz w:val="21"/>
          <w:szCs w:val="21"/>
        </w:rPr>
        <w:t>____</w:t>
      </w:r>
      <w:r>
        <w:rPr>
          <w:rFonts w:ascii="宋体" w:hAnsi="宋体" w:eastAsia="宋体" w:cs="宋体"/>
          <w:color w:val="000000"/>
          <w:sz w:val="21"/>
          <w:szCs w:val="21"/>
        </w:rPr>
        <w:t>。上述过程进一步引起认知障碍的原因是，兴奋在</w:t>
      </w:r>
      <w:r>
        <w:rPr>
          <w:color w:val="000000"/>
          <w:sz w:val="21"/>
          <w:szCs w:val="21"/>
        </w:rPr>
        <w:t>____</w:t>
      </w:r>
      <w:r>
        <w:rPr>
          <w:rFonts w:ascii="宋体" w:hAnsi="宋体" w:eastAsia="宋体" w:cs="宋体"/>
          <w:color w:val="000000"/>
          <w:sz w:val="21"/>
          <w:szCs w:val="21"/>
        </w:rPr>
        <w:t>的传递受阻。</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（4）</w:t>
      </w:r>
      <w:r>
        <w:rPr>
          <w:rFonts w:ascii="宋体" w:hAnsi="宋体" w:eastAsia="宋体" w:cs="宋体"/>
          <w:color w:val="000000"/>
          <w:sz w:val="21"/>
          <w:szCs w:val="21"/>
        </w:rPr>
        <w:t>科研人员研究了电针刺激对胰岛素抵抗并伴有认知障碍大鼠</w:t>
      </w:r>
      <w:r>
        <w:rPr>
          <w:rFonts w:ascii="宋体" w:hAnsi="宋体" w:eastAsia="宋体" w:cs="宋体"/>
          <w:color w:val="000000"/>
          <w:position w:val="0"/>
          <w:sz w:val="21"/>
          <w:szCs w:val="21"/>
        </w:rPr>
        <w:drawing>
          <wp:inline distT="0" distB="0" distL="114300" distR="114300">
            <wp:extent cx="133350" cy="177800"/>
            <wp:effectExtent l="0" t="0" r="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eastAsia="宋体" w:cs="宋体"/>
          <w:color w:val="000000"/>
          <w:sz w:val="21"/>
          <w:szCs w:val="21"/>
        </w:rPr>
        <w:t>治疗作用。水迷宫实验是判断大鼠认知水平的重要实验，大鼠逃避水迷宫所用的时间越短，认知水平越高。本实验主要步骤如下，请补全表格：</w:t>
      </w:r>
    </w:p>
    <w:tbl>
      <w:tblPr>
        <w:tblStyle w:val="4"/>
        <w:tblW w:w="80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45"/>
        <w:gridCol w:w="6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实验步骤的目的</w:t>
            </w:r>
          </w:p>
        </w:tc>
        <w:tc>
          <w:tcPr>
            <w:tcW w:w="61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简要的操作流程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胰岛素抵抗大鼠模型建立</w:t>
            </w:r>
          </w:p>
        </w:tc>
        <w:tc>
          <w:tcPr>
            <w:tcW w:w="61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取</w:t>
            </w:r>
            <w:r>
              <w:rPr>
                <w:rFonts w:ascii="Times New Roman" w:hAnsi="Times New Roman" w:eastAsia="Times New Roman" w:cs="Times New Roman"/>
                <w:color w:val="000000"/>
                <w:sz w:val="21"/>
                <w:szCs w:val="21"/>
              </w:rPr>
              <w:t>40</w:t>
            </w:r>
            <w:r>
              <w:rPr>
                <w:rFonts w:ascii="宋体" w:hAnsi="宋体" w:eastAsia="宋体" w:cs="宋体"/>
                <w:color w:val="000000"/>
                <w:sz w:val="21"/>
                <w:szCs w:val="21"/>
              </w:rPr>
              <w:t>只健康雄性大鼠，给予高脂饲料喂养</w:t>
            </w:r>
            <w:r>
              <w:rPr>
                <w:rFonts w:ascii="Times New Roman" w:hAnsi="Times New Roman" w:eastAsia="Times New Roman" w:cs="Times New Roman"/>
                <w:color w:val="000000"/>
                <w:sz w:val="21"/>
                <w:szCs w:val="21"/>
              </w:rPr>
              <w:t>8</w:t>
            </w:r>
            <w:r>
              <w:rPr>
                <w:rFonts w:ascii="宋体" w:hAnsi="宋体" w:eastAsia="宋体" w:cs="宋体"/>
                <w:color w:val="000000"/>
                <w:sz w:val="21"/>
                <w:szCs w:val="21"/>
              </w:rPr>
              <w:t>周，获得</w:t>
            </w:r>
            <w:r>
              <w:rPr>
                <w:rFonts w:ascii="Times New Roman" w:hAnsi="Times New Roman" w:eastAsia="Times New Roman" w:cs="Times New Roman"/>
                <w:color w:val="000000"/>
                <w:sz w:val="21"/>
                <w:szCs w:val="21"/>
              </w:rPr>
              <w:t>35</w:t>
            </w:r>
            <w:r>
              <w:rPr>
                <w:rFonts w:ascii="宋体" w:hAnsi="宋体" w:eastAsia="宋体" w:cs="宋体"/>
                <w:color w:val="000000"/>
                <w:sz w:val="21"/>
                <w:szCs w:val="21"/>
              </w:rPr>
              <w:t>只胰岛素抵抗大鼠模型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①</w:t>
            </w:r>
            <w:r>
              <w:rPr>
                <w:color w:val="000000"/>
                <w:sz w:val="21"/>
                <w:szCs w:val="21"/>
              </w:rPr>
              <w:t>____</w:t>
            </w:r>
          </w:p>
        </w:tc>
        <w:tc>
          <w:tcPr>
            <w:tcW w:w="61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对以上</w:t>
            </w:r>
            <w:r>
              <w:rPr>
                <w:rFonts w:ascii="Times New Roman" w:hAnsi="Times New Roman" w:eastAsia="Times New Roman" w:cs="Times New Roman"/>
                <w:color w:val="000000"/>
                <w:sz w:val="21"/>
                <w:szCs w:val="21"/>
              </w:rPr>
              <w:t>35</w:t>
            </w:r>
            <w:r>
              <w:rPr>
                <w:rFonts w:ascii="宋体" w:hAnsi="宋体" w:eastAsia="宋体" w:cs="宋体"/>
                <w:color w:val="000000"/>
                <w:sz w:val="21"/>
                <w:szCs w:val="21"/>
              </w:rPr>
              <w:t>只大鼠进行水迷宫实验，当大鼠逃避水迷宫所用的时间超过高脂饲料饲喂前</w:t>
            </w:r>
            <w:r>
              <w:rPr>
                <w:rFonts w:ascii="Times New Roman" w:hAnsi="Times New Roman" w:eastAsia="Times New Roman" w:cs="Times New Roman"/>
                <w:color w:val="000000"/>
                <w:sz w:val="21"/>
                <w:szCs w:val="21"/>
              </w:rPr>
              <w:t>20%</w:t>
            </w:r>
            <w:r>
              <w:rPr>
                <w:rFonts w:ascii="宋体" w:hAnsi="宋体" w:eastAsia="宋体" w:cs="宋体"/>
                <w:color w:val="000000"/>
                <w:sz w:val="21"/>
                <w:szCs w:val="21"/>
              </w:rPr>
              <w:t>即为造模成功大鼠。共获得</w:t>
            </w:r>
            <w:r>
              <w:rPr>
                <w:rFonts w:ascii="Times New Roman" w:hAnsi="Times New Roman" w:eastAsia="Times New Roman" w:cs="Times New Roman"/>
                <w:color w:val="000000"/>
                <w:sz w:val="21"/>
                <w:szCs w:val="21"/>
              </w:rPr>
              <w:t>30</w:t>
            </w:r>
            <w:r>
              <w:rPr>
                <w:rFonts w:ascii="宋体" w:hAnsi="宋体" w:eastAsia="宋体" w:cs="宋体"/>
                <w:color w:val="000000"/>
                <w:sz w:val="21"/>
                <w:szCs w:val="21"/>
              </w:rPr>
              <w:t>只大鼠。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实验分组</w:t>
            </w:r>
          </w:p>
        </w:tc>
        <w:tc>
          <w:tcPr>
            <w:tcW w:w="61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将上述</w:t>
            </w:r>
            <w:r>
              <w:rPr>
                <w:rFonts w:ascii="Times New Roman" w:hAnsi="Times New Roman" w:eastAsia="Times New Roman" w:cs="Times New Roman"/>
                <w:color w:val="000000"/>
                <w:sz w:val="21"/>
                <w:szCs w:val="21"/>
              </w:rPr>
              <w:t>30</w:t>
            </w:r>
            <w:r>
              <w:rPr>
                <w:rFonts w:ascii="宋体" w:hAnsi="宋体" w:eastAsia="宋体" w:cs="宋体"/>
                <w:color w:val="000000"/>
                <w:sz w:val="21"/>
                <w:szCs w:val="21"/>
              </w:rPr>
              <w:t>只造模成功的大鼠平均分为三组，模型组、假电针组、电针组。另取②</w:t>
            </w:r>
            <w:r>
              <w:rPr>
                <w:color w:val="000000"/>
                <w:sz w:val="21"/>
                <w:szCs w:val="21"/>
              </w:rPr>
              <w:t>____</w:t>
            </w:r>
            <w:r>
              <w:rPr>
                <w:rFonts w:ascii="宋体" w:hAnsi="宋体" w:eastAsia="宋体" w:cs="宋体"/>
                <w:color w:val="000000"/>
                <w:sz w:val="21"/>
                <w:szCs w:val="21"/>
              </w:rPr>
              <w:t>作为正常对照组，给予正常饲料饲喂</w:t>
            </w:r>
            <w:r>
              <w:rPr>
                <w:rFonts w:ascii="Times New Roman" w:hAnsi="Times New Roman" w:eastAsia="Times New Roman" w:cs="Times New Roman"/>
                <w:color w:val="000000"/>
                <w:sz w:val="21"/>
                <w:szCs w:val="21"/>
              </w:rPr>
              <w:t>8</w:t>
            </w:r>
            <w:r>
              <w:rPr>
                <w:rFonts w:ascii="宋体" w:hAnsi="宋体" w:eastAsia="宋体" w:cs="宋体"/>
                <w:color w:val="000000"/>
                <w:sz w:val="21"/>
                <w:szCs w:val="21"/>
              </w:rPr>
              <w:t>周，其余培养及处理相同。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实验处理</w:t>
            </w:r>
          </w:p>
        </w:tc>
        <w:tc>
          <w:tcPr>
            <w:tcW w:w="61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电针组：选取</w:t>
            </w:r>
            <w:r>
              <w:rPr>
                <w:rFonts w:ascii="Times New Roman" w:hAnsi="Times New Roman" w:eastAsia="Times New Roman" w:cs="Times New Roman"/>
                <w:color w:val="000000"/>
                <w:sz w:val="21"/>
                <w:szCs w:val="21"/>
              </w:rPr>
              <w:t>5</w:t>
            </w:r>
            <w:r>
              <w:rPr>
                <w:rFonts w:ascii="宋体" w:hAnsi="宋体" w:eastAsia="宋体" w:cs="宋体"/>
                <w:color w:val="000000"/>
                <w:sz w:val="21"/>
                <w:szCs w:val="21"/>
              </w:rPr>
              <w:t>个穴位用</w:t>
            </w:r>
            <w:r>
              <w:rPr>
                <w:rFonts w:ascii="Times New Roman" w:hAnsi="Times New Roman" w:eastAsia="Times New Roman" w:cs="Times New Roman"/>
                <w:color w:val="000000"/>
                <w:sz w:val="21"/>
                <w:szCs w:val="21"/>
              </w:rPr>
              <w:t>0.30mm×25mm</w:t>
            </w:r>
            <w:r>
              <w:rPr>
                <w:rFonts w:ascii="宋体" w:hAnsi="宋体" w:eastAsia="宋体" w:cs="宋体"/>
                <w:color w:val="000000"/>
                <w:sz w:val="21"/>
                <w:szCs w:val="21"/>
              </w:rPr>
              <w:t>不锈钢毫针针刺</w:t>
            </w:r>
            <w:r>
              <w:rPr>
                <w:rFonts w:ascii="Times New Roman" w:hAnsi="Times New Roman" w:eastAsia="Times New Roman" w:cs="Times New Roman"/>
                <w:color w:val="000000"/>
                <w:sz w:val="21"/>
                <w:szCs w:val="21"/>
              </w:rPr>
              <w:t>3~5mm</w:t>
            </w:r>
            <w:r>
              <w:rPr>
                <w:rFonts w:ascii="宋体" w:hAnsi="宋体" w:eastAsia="宋体" w:cs="宋体"/>
                <w:color w:val="000000"/>
                <w:sz w:val="21"/>
                <w:szCs w:val="21"/>
              </w:rPr>
              <w:t>，采用电针治疗仪通电</w:t>
            </w:r>
            <w:r>
              <w:rPr>
                <w:rFonts w:ascii="Times New Roman" w:hAnsi="Times New Roman" w:eastAsia="Times New Roman" w:cs="Times New Roman"/>
                <w:color w:val="000000"/>
                <w:sz w:val="21"/>
                <w:szCs w:val="21"/>
              </w:rPr>
              <w:t>10min</w:t>
            </w:r>
            <w:r>
              <w:rPr>
                <w:rFonts w:ascii="宋体" w:hAnsi="宋体" w:eastAsia="宋体" w:cs="宋体"/>
                <w:color w:val="000000"/>
                <w:sz w:val="21"/>
                <w:szCs w:val="21"/>
              </w:rPr>
              <w:t>，每周治疗三次，总疗程</w:t>
            </w:r>
            <w:r>
              <w:rPr>
                <w:rFonts w:ascii="Times New Roman" w:hAnsi="Times New Roman" w:eastAsia="Times New Roman" w:cs="Times New Roman"/>
                <w:color w:val="000000"/>
                <w:sz w:val="21"/>
                <w:szCs w:val="21"/>
              </w:rPr>
              <w:t>8</w:t>
            </w:r>
            <w:r>
              <w:rPr>
                <w:rFonts w:ascii="宋体" w:hAnsi="宋体" w:eastAsia="宋体" w:cs="宋体"/>
                <w:color w:val="000000"/>
                <w:sz w:val="21"/>
                <w:szCs w:val="21"/>
              </w:rPr>
              <w:t>周。假电针组：③</w:t>
            </w:r>
            <w:r>
              <w:rPr>
                <w:color w:val="000000"/>
                <w:sz w:val="21"/>
                <w:szCs w:val="21"/>
              </w:rPr>
              <w:t>____</w:t>
            </w:r>
            <w:r>
              <w:rPr>
                <w:rFonts w:ascii="宋体" w:hAnsi="宋体" w:eastAsia="宋体" w:cs="宋体"/>
                <w:color w:val="000000"/>
                <w:sz w:val="21"/>
                <w:szCs w:val="21"/>
              </w:rPr>
              <w:t>，但不进行通电。模型组和正常组不做任何处理。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实验指标</w:t>
            </w:r>
            <w:r>
              <w:rPr>
                <w:rFonts w:ascii="宋体" w:hAnsi="宋体" w:eastAsia="宋体" w:cs="宋体"/>
                <w:color w:val="000000"/>
                <w:position w:val="0"/>
                <w:sz w:val="21"/>
                <w:szCs w:val="21"/>
              </w:rPr>
              <w:drawing>
                <wp:inline distT="0" distB="0" distL="114300" distR="114300">
                  <wp:extent cx="133350" cy="177800"/>
                  <wp:effectExtent l="0" t="0" r="0" b="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eastAsia="宋体" w:cs="宋体"/>
                <w:color w:val="000000"/>
                <w:sz w:val="21"/>
                <w:szCs w:val="21"/>
              </w:rPr>
              <w:t>检测</w:t>
            </w:r>
          </w:p>
        </w:tc>
        <w:tc>
          <w:tcPr>
            <w:tcW w:w="61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8</w:t>
            </w:r>
            <w:r>
              <w:rPr>
                <w:rFonts w:ascii="宋体" w:hAnsi="宋体" w:eastAsia="宋体" w:cs="宋体"/>
                <w:color w:val="000000"/>
                <w:sz w:val="21"/>
                <w:szCs w:val="21"/>
              </w:rPr>
              <w:t>周后，对四组大鼠进行④</w:t>
            </w:r>
            <w:r>
              <w:rPr>
                <w:color w:val="000000"/>
                <w:sz w:val="21"/>
                <w:szCs w:val="21"/>
              </w:rPr>
              <w:t>____</w:t>
            </w:r>
            <w:r>
              <w:rPr>
                <w:rFonts w:hint="eastAsia"/>
                <w:color w:val="000000"/>
                <w:sz w:val="21"/>
                <w:szCs w:val="21"/>
                <w:lang w:eastAsia="zh-CN"/>
              </w:rPr>
              <w:t>（</w:t>
            </w:r>
            <w:r>
              <w:rPr>
                <w:rFonts w:hint="eastAsia"/>
                <w:color w:val="000000"/>
                <w:sz w:val="21"/>
                <w:szCs w:val="21"/>
                <w:lang w:val="en-US" w:eastAsia="zh-CN"/>
              </w:rPr>
              <w:t>2分）</w:t>
            </w:r>
            <w:r>
              <w:rPr>
                <w:rFonts w:ascii="宋体" w:hAnsi="宋体" w:eastAsia="宋体" w:cs="宋体"/>
                <w:color w:val="000000"/>
                <w:sz w:val="21"/>
                <w:szCs w:val="21"/>
              </w:rPr>
              <w:t>等的检测，检测结束后对大鼠进行脱颈处死取脑组织检测神经元的形态、</w:t>
            </w:r>
            <w:r>
              <w:rPr>
                <w:rFonts w:ascii="Times New Roman" w:hAnsi="Times New Roman" w:eastAsia="Times New Roman" w:cs="Times New Roman"/>
                <w:color w:val="000000"/>
                <w:sz w:val="21"/>
                <w:szCs w:val="21"/>
              </w:rPr>
              <w:t>Aβ</w:t>
            </w:r>
            <w:r>
              <w:rPr>
                <w:rFonts w:ascii="宋体" w:hAnsi="宋体" w:eastAsia="宋体" w:cs="宋体"/>
                <w:color w:val="000000"/>
                <w:sz w:val="21"/>
                <w:szCs w:val="21"/>
              </w:rPr>
              <w:t>含量等。</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2</w:t>
      </w:r>
      <w:r>
        <w:rPr>
          <w:rFonts w:hint="eastAsia"/>
          <w:color w:val="000000"/>
          <w:sz w:val="21"/>
          <w:szCs w:val="21"/>
          <w:lang w:val="en-US" w:eastAsia="zh-CN"/>
        </w:rPr>
        <w:t>1</w:t>
      </w:r>
      <w:r>
        <w:rPr>
          <w:color w:val="000000"/>
          <w:sz w:val="21"/>
          <w:szCs w:val="21"/>
        </w:rPr>
        <w:t xml:space="preserve">. </w:t>
      </w:r>
      <w:r>
        <w:rPr>
          <w:rFonts w:hint="eastAsia"/>
          <w:color w:val="000000"/>
          <w:sz w:val="21"/>
          <w:szCs w:val="21"/>
          <w:lang w:eastAsia="zh-CN"/>
        </w:rPr>
        <w:t>（</w:t>
      </w:r>
      <w:r>
        <w:rPr>
          <w:rFonts w:hint="eastAsia"/>
          <w:color w:val="000000"/>
          <w:sz w:val="21"/>
          <w:szCs w:val="21"/>
          <w:lang w:val="en-US" w:eastAsia="zh-CN"/>
        </w:rPr>
        <w:t>11分</w:t>
      </w:r>
      <w:r>
        <w:rPr>
          <w:rFonts w:hint="eastAsia"/>
          <w:color w:val="000000"/>
          <w:sz w:val="21"/>
          <w:szCs w:val="21"/>
          <w:lang w:eastAsia="zh-CN"/>
        </w:rPr>
        <w:t>）</w:t>
      </w:r>
      <w:r>
        <w:rPr>
          <w:rFonts w:ascii="宋体" w:hAnsi="宋体" w:eastAsia="宋体" w:cs="宋体"/>
          <w:color w:val="000000"/>
          <w:sz w:val="21"/>
          <w:szCs w:val="21"/>
        </w:rPr>
        <w:t>长期暴露于紫外线、感染和毒素会增加细胞的死亡，死亡碎片激活了一系列免疫反应，引起系统性红斑狼疮（</w:t>
      </w:r>
      <w:r>
        <w:rPr>
          <w:rFonts w:ascii="Times New Roman" w:hAnsi="Times New Roman" w:eastAsia="Times New Roman" w:cs="Times New Roman"/>
          <w:color w:val="000000"/>
          <w:sz w:val="21"/>
          <w:szCs w:val="21"/>
        </w:rPr>
        <w:t>SLE</w:t>
      </w:r>
      <w:r>
        <w:rPr>
          <w:rFonts w:ascii="宋体" w:hAnsi="宋体" w:eastAsia="宋体" w:cs="宋体"/>
          <w:color w:val="000000"/>
          <w:sz w:val="21"/>
          <w:szCs w:val="21"/>
        </w:rPr>
        <w:t>）的发生。下图为引起</w:t>
      </w:r>
      <w:r>
        <w:rPr>
          <w:rFonts w:ascii="Times New Roman" w:hAnsi="Times New Roman" w:eastAsia="Times New Roman" w:cs="Times New Roman"/>
          <w:color w:val="000000"/>
          <w:sz w:val="21"/>
          <w:szCs w:val="21"/>
        </w:rPr>
        <w:t>SLE</w:t>
      </w:r>
      <w:r>
        <w:rPr>
          <w:rFonts w:ascii="宋体" w:hAnsi="宋体" w:eastAsia="宋体" w:cs="宋体"/>
          <w:color w:val="000000"/>
          <w:sz w:val="21"/>
          <w:szCs w:val="21"/>
        </w:rPr>
        <w:t>的部分免疫学机制示意图，其中</w:t>
      </w:r>
      <w:r>
        <w:rPr>
          <w:rFonts w:ascii="Times New Roman" w:hAnsi="Times New Roman" w:eastAsia="Times New Roman" w:cs="Times New Roman"/>
          <w:color w:val="000000"/>
          <w:sz w:val="21"/>
          <w:szCs w:val="21"/>
        </w:rPr>
        <w:t>TypeI IFN</w:t>
      </w:r>
      <w:r>
        <w:rPr>
          <w:rFonts w:ascii="宋体" w:hAnsi="宋体" w:eastAsia="宋体" w:cs="宋体"/>
          <w:color w:val="000000"/>
          <w:sz w:val="21"/>
          <w:szCs w:val="21"/>
        </w:rPr>
        <w:t>表示</w:t>
      </w:r>
      <w:r>
        <w:rPr>
          <w:rFonts w:ascii="Times New Roman" w:hAnsi="Times New Roman" w:eastAsia="Times New Roman" w:cs="Times New Roman"/>
          <w:color w:val="000000"/>
          <w:sz w:val="21"/>
          <w:szCs w:val="21"/>
        </w:rPr>
        <w:t>Ⅰ</w:t>
      </w:r>
      <w:r>
        <w:rPr>
          <w:rFonts w:ascii="宋体" w:hAnsi="宋体" w:eastAsia="宋体" w:cs="宋体"/>
          <w:color w:val="000000"/>
          <w:sz w:val="21"/>
          <w:szCs w:val="21"/>
        </w:rPr>
        <w:t>型干扰素，</w:t>
      </w:r>
      <w:r>
        <w:rPr>
          <w:rFonts w:ascii="Times New Roman" w:hAnsi="Times New Roman" w:eastAsia="Times New Roman" w:cs="Times New Roman"/>
          <w:color w:val="000000"/>
          <w:sz w:val="21"/>
          <w:szCs w:val="21"/>
        </w:rPr>
        <w:t>BAFF</w:t>
      </w:r>
      <w:r>
        <w:rPr>
          <w:rFonts w:ascii="宋体" w:hAnsi="宋体" w:eastAsia="宋体" w:cs="宋体"/>
          <w:color w:val="000000"/>
          <w:sz w:val="21"/>
          <w:szCs w:val="21"/>
        </w:rPr>
        <w:t>表示</w:t>
      </w:r>
      <w:r>
        <w:rPr>
          <w:rFonts w:ascii="Times New Roman" w:hAnsi="Times New Roman" w:eastAsia="Times New Roman" w:cs="Times New Roman"/>
          <w:color w:val="000000"/>
          <w:sz w:val="21"/>
          <w:szCs w:val="21"/>
        </w:rPr>
        <w:t>B</w:t>
      </w:r>
      <w:r>
        <w:rPr>
          <w:rFonts w:ascii="宋体" w:hAnsi="宋体" w:eastAsia="宋体" w:cs="宋体"/>
          <w:color w:val="000000"/>
          <w:sz w:val="21"/>
          <w:szCs w:val="21"/>
        </w:rPr>
        <w:t>细胞激活因子，</w:t>
      </w:r>
      <w:r>
        <w:rPr>
          <w:rFonts w:ascii="Times New Roman" w:hAnsi="Times New Roman" w:eastAsia="Times New Roman" w:cs="Times New Roman"/>
          <w:color w:val="000000"/>
          <w:sz w:val="21"/>
          <w:szCs w:val="21"/>
        </w:rPr>
        <w:t>BAFF-R</w:t>
      </w:r>
      <w:r>
        <w:rPr>
          <w:rFonts w:ascii="宋体" w:hAnsi="宋体" w:eastAsia="宋体" w:cs="宋体"/>
          <w:color w:val="000000"/>
          <w:sz w:val="21"/>
          <w:szCs w:val="21"/>
        </w:rPr>
        <w:t>表示</w:t>
      </w:r>
      <w:r>
        <w:rPr>
          <w:rFonts w:ascii="Times New Roman" w:hAnsi="Times New Roman" w:eastAsia="Times New Roman" w:cs="Times New Roman"/>
          <w:color w:val="000000"/>
          <w:sz w:val="21"/>
          <w:szCs w:val="21"/>
        </w:rPr>
        <w:t>BAFF</w:t>
      </w:r>
      <w:r>
        <w:rPr>
          <w:rFonts w:ascii="宋体" w:hAnsi="宋体" w:eastAsia="宋体" w:cs="宋体"/>
          <w:color w:val="000000"/>
          <w:sz w:val="21"/>
          <w:szCs w:val="21"/>
        </w:rPr>
        <w:t>受体，</w:t>
      </w:r>
      <w:r>
        <w:rPr>
          <w:rFonts w:ascii="Times New Roman" w:hAnsi="Times New Roman" w:eastAsia="Times New Roman" w:cs="Times New Roman"/>
          <w:color w:val="000000"/>
          <w:sz w:val="21"/>
          <w:szCs w:val="21"/>
        </w:rPr>
        <w:t>FcR</w:t>
      </w:r>
      <w:r>
        <w:rPr>
          <w:rFonts w:ascii="宋体" w:hAnsi="宋体" w:eastAsia="宋体" w:cs="宋体"/>
          <w:color w:val="000000"/>
          <w:sz w:val="21"/>
          <w:szCs w:val="21"/>
        </w:rPr>
        <w:t>表示</w:t>
      </w:r>
      <w:r>
        <w:rPr>
          <w:rFonts w:ascii="Times New Roman" w:hAnsi="Times New Roman" w:eastAsia="Times New Roman" w:cs="Times New Roman"/>
          <w:color w:val="000000"/>
          <w:sz w:val="21"/>
          <w:szCs w:val="21"/>
        </w:rPr>
        <w:t>Fc</w:t>
      </w:r>
      <w:r>
        <w:rPr>
          <w:rFonts w:ascii="宋体" w:hAnsi="宋体" w:eastAsia="宋体" w:cs="宋体"/>
          <w:color w:val="000000"/>
          <w:sz w:val="21"/>
          <w:szCs w:val="21"/>
        </w:rPr>
        <w:t>受体，</w:t>
      </w:r>
      <w:r>
        <w:rPr>
          <w:rFonts w:ascii="Times New Roman" w:hAnsi="Times New Roman" w:eastAsia="Times New Roman" w:cs="Times New Roman"/>
          <w:color w:val="000000"/>
          <w:sz w:val="21"/>
          <w:szCs w:val="21"/>
        </w:rPr>
        <w:t>IL-6</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IL-8</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IL-17</w:t>
      </w:r>
      <w:r>
        <w:rPr>
          <w:rFonts w:ascii="宋体" w:hAnsi="宋体" w:eastAsia="宋体" w:cs="宋体"/>
          <w:color w:val="000000"/>
          <w:sz w:val="21"/>
          <w:szCs w:val="21"/>
        </w:rPr>
        <w:t>表示不同的细胞因子。请回答：</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drawing>
          <wp:inline distT="0" distB="0" distL="114300" distR="114300">
            <wp:extent cx="3829685" cy="2520950"/>
            <wp:effectExtent l="0" t="0" r="5715" b="635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3829685" cy="2520950"/>
                    </a:xfrm>
                    <a:prstGeom prst="rect">
                      <a:avLst/>
                    </a:prstGeom>
                  </pic:spPr>
                </pic:pic>
              </a:graphicData>
            </a:graphic>
          </wp:inline>
        </w:drawing>
      </w:r>
      <w:r>
        <w:rPr>
          <w:color w:val="000000"/>
          <w:sz w:val="21"/>
          <w:szCs w:val="21"/>
        </w:rPr>
        <w:t xml:space="preserve">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（1）</w:t>
      </w:r>
      <w:r>
        <w:rPr>
          <w:rFonts w:ascii="Times New Roman" w:hAnsi="Times New Roman" w:eastAsia="Times New Roman" w:cs="Times New Roman"/>
          <w:color w:val="000000"/>
          <w:sz w:val="21"/>
          <w:szCs w:val="21"/>
        </w:rPr>
        <w:t>HLA</w:t>
      </w:r>
      <w:r>
        <w:rPr>
          <w:rFonts w:ascii="宋体" w:hAnsi="宋体" w:eastAsia="宋体" w:cs="宋体"/>
          <w:color w:val="000000"/>
          <w:sz w:val="21"/>
          <w:szCs w:val="21"/>
        </w:rPr>
        <w:t>的中文名称是</w:t>
      </w:r>
      <w:r>
        <w:rPr>
          <w:color w:val="000000"/>
          <w:sz w:val="21"/>
          <w:szCs w:val="21"/>
        </w:rPr>
        <w:t>____</w:t>
      </w:r>
      <w:r>
        <w:rPr>
          <w:rFonts w:ascii="宋体" w:hAnsi="宋体" w:eastAsia="宋体" w:cs="宋体"/>
          <w:color w:val="000000"/>
          <w:sz w:val="21"/>
          <w:szCs w:val="21"/>
        </w:rPr>
        <w:t>。图中属于淋巴细胞有</w:t>
      </w:r>
      <w:r>
        <w:rPr>
          <w:color w:val="000000"/>
          <w:sz w:val="21"/>
          <w:szCs w:val="21"/>
        </w:rPr>
        <w:t>____</w:t>
      </w:r>
      <w:r>
        <w:rPr>
          <w:rFonts w:ascii="宋体" w:hAns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（2）</w:t>
      </w:r>
      <w:r>
        <w:rPr>
          <w:rFonts w:ascii="宋体" w:hAnsi="宋体" w:eastAsia="宋体" w:cs="宋体"/>
          <w:color w:val="000000"/>
          <w:sz w:val="21"/>
          <w:szCs w:val="21"/>
        </w:rPr>
        <w:t>髓样树突状细胞将抗原信息呈递给辅助性</w:t>
      </w:r>
      <w:r>
        <w:rPr>
          <w:rFonts w:ascii="Times New Roman" w:hAnsi="Times New Roman" w:eastAsia="Times New Roman" w:cs="Times New Roman"/>
          <w:color w:val="000000"/>
          <w:sz w:val="21"/>
          <w:szCs w:val="21"/>
        </w:rPr>
        <w:t>T</w:t>
      </w:r>
      <w:r>
        <w:rPr>
          <w:rFonts w:ascii="宋体" w:hAnsi="宋体" w:eastAsia="宋体" w:cs="宋体"/>
          <w:color w:val="000000"/>
          <w:sz w:val="21"/>
          <w:szCs w:val="21"/>
        </w:rPr>
        <w:t>细胞，同时分泌</w:t>
      </w:r>
      <w:r>
        <w:rPr>
          <w:rFonts w:ascii="Times New Roman" w:hAnsi="Times New Roman" w:eastAsia="Times New Roman" w:cs="Times New Roman"/>
          <w:color w:val="000000"/>
          <w:sz w:val="21"/>
          <w:szCs w:val="21"/>
        </w:rPr>
        <w:t>BAFF</w:t>
      </w:r>
      <w:r>
        <w:rPr>
          <w:rFonts w:ascii="宋体" w:hAnsi="宋体" w:eastAsia="宋体" w:cs="宋体"/>
          <w:color w:val="000000"/>
          <w:sz w:val="21"/>
          <w:szCs w:val="21"/>
        </w:rPr>
        <w:t>激活</w:t>
      </w:r>
      <w:r>
        <w:rPr>
          <w:rFonts w:ascii="Times New Roman" w:hAnsi="Times New Roman" w:eastAsia="Times New Roman" w:cs="Times New Roman"/>
          <w:color w:val="000000"/>
          <w:sz w:val="21"/>
          <w:szCs w:val="21"/>
        </w:rPr>
        <w:t>B</w:t>
      </w:r>
      <w:r>
        <w:rPr>
          <w:rFonts w:ascii="宋体" w:hAnsi="宋体" w:eastAsia="宋体" w:cs="宋体"/>
          <w:color w:val="000000"/>
          <w:sz w:val="21"/>
          <w:szCs w:val="21"/>
        </w:rPr>
        <w:t>细胞。</w:t>
      </w:r>
      <w:r>
        <w:rPr>
          <w:rFonts w:ascii="Times New Roman" w:hAnsi="Times New Roman" w:eastAsia="Times New Roman" w:cs="Times New Roman"/>
          <w:color w:val="000000"/>
          <w:sz w:val="21"/>
          <w:szCs w:val="21"/>
        </w:rPr>
        <w:t>B</w:t>
      </w:r>
      <w:r>
        <w:rPr>
          <w:rFonts w:ascii="宋体" w:hAnsi="宋体" w:eastAsia="宋体" w:cs="宋体"/>
          <w:color w:val="000000"/>
          <w:sz w:val="21"/>
          <w:szCs w:val="21"/>
        </w:rPr>
        <w:t>细胞的激活还需要的两个信号是</w:t>
      </w:r>
      <w:r>
        <w:rPr>
          <w:color w:val="000000"/>
          <w:sz w:val="21"/>
          <w:szCs w:val="21"/>
        </w:rPr>
        <w:t>____</w:t>
      </w:r>
      <w:r>
        <w:rPr>
          <w:rFonts w:ascii="宋体" w:hAnsi="宋体" w:eastAsia="宋体" w:cs="宋体"/>
          <w:color w:val="000000"/>
          <w:sz w:val="21"/>
          <w:szCs w:val="21"/>
        </w:rPr>
        <w:t>。活化的</w:t>
      </w:r>
      <w:r>
        <w:rPr>
          <w:rFonts w:ascii="Times New Roman" w:hAnsi="Times New Roman" w:eastAsia="Times New Roman" w:cs="Times New Roman"/>
          <w:color w:val="000000"/>
          <w:sz w:val="21"/>
          <w:szCs w:val="21"/>
        </w:rPr>
        <w:t>B</w:t>
      </w:r>
      <w:r>
        <w:rPr>
          <w:rFonts w:ascii="宋体" w:hAnsi="宋体" w:eastAsia="宋体" w:cs="宋体"/>
          <w:color w:val="000000"/>
          <w:sz w:val="21"/>
          <w:szCs w:val="21"/>
        </w:rPr>
        <w:t>细胞增殖分化为</w:t>
      </w:r>
      <w:r>
        <w:rPr>
          <w:color w:val="000000"/>
          <w:sz w:val="21"/>
          <w:szCs w:val="21"/>
        </w:rPr>
        <w:t>____</w:t>
      </w:r>
      <w:r>
        <w:rPr>
          <w:rFonts w:ascii="宋体" w:hAnsi="宋体" w:eastAsia="宋体" w:cs="宋体"/>
          <w:color w:val="000000"/>
          <w:sz w:val="21"/>
          <w:szCs w:val="21"/>
        </w:rPr>
        <w:t>，前者产生自身抗体。自身抗体与细胞死亡释放的核酸等物质特异性结合进一步促进更多抗体的产生，这属于</w:t>
      </w:r>
      <w:r>
        <w:rPr>
          <w:color w:val="000000"/>
          <w:sz w:val="21"/>
          <w:szCs w:val="21"/>
        </w:rPr>
        <w:t>____</w:t>
      </w:r>
      <w:r>
        <w:rPr>
          <w:rFonts w:ascii="宋体" w:hAnsi="宋体" w:eastAsia="宋体" w:cs="宋体"/>
          <w:color w:val="000000"/>
          <w:sz w:val="21"/>
          <w:szCs w:val="21"/>
        </w:rPr>
        <w:t>调节。</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（3）</w:t>
      </w:r>
      <w:r>
        <w:rPr>
          <w:rFonts w:ascii="宋体" w:hAnsi="宋体" w:eastAsia="宋体" w:cs="宋体"/>
          <w:color w:val="000000"/>
          <w:sz w:val="21"/>
          <w:szCs w:val="21"/>
        </w:rPr>
        <w:t>多种免疫细胞能分泌多种细胞因子，同时细胞因子进一步促进相应细胞合成分泌更多细胞因子，进而引起细胞因子风暴。</w:t>
      </w:r>
      <w:r>
        <w:rPr>
          <w:rFonts w:ascii="Times New Roman" w:hAnsi="Times New Roman" w:eastAsia="Times New Roman" w:cs="Times New Roman"/>
          <w:color w:val="000000"/>
          <w:sz w:val="21"/>
          <w:szCs w:val="21"/>
        </w:rPr>
        <w:t>SLE</w:t>
      </w:r>
      <w:r>
        <w:rPr>
          <w:rFonts w:ascii="宋体" w:hAnsi="宋体" w:eastAsia="宋体" w:cs="宋体"/>
          <w:color w:val="000000"/>
          <w:sz w:val="21"/>
          <w:szCs w:val="21"/>
        </w:rPr>
        <w:t>引起的细胞因子风暴不仅会杀死面部血管细胞，严重时会引起全身多器官衰竭，试解释其原因：</w:t>
      </w:r>
      <w:r>
        <w:rPr>
          <w:color w:val="000000"/>
          <w:sz w:val="21"/>
          <w:szCs w:val="21"/>
        </w:rPr>
        <w:t>____</w:t>
      </w:r>
      <w:r>
        <w:rPr>
          <w:rFonts w:hint="eastAsia"/>
          <w:color w:val="000000"/>
          <w:sz w:val="21"/>
          <w:szCs w:val="21"/>
          <w:lang w:eastAsia="zh-CN"/>
        </w:rPr>
        <w:t>（</w:t>
      </w:r>
      <w:r>
        <w:rPr>
          <w:rFonts w:hint="eastAsia"/>
          <w:color w:val="000000"/>
          <w:sz w:val="21"/>
          <w:szCs w:val="21"/>
          <w:lang w:val="en-US" w:eastAsia="zh-CN"/>
        </w:rPr>
        <w:t>2分）</w:t>
      </w:r>
      <w:r>
        <w:rPr>
          <w:rFonts w:ascii="宋体" w:hAns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（4）</w:t>
      </w:r>
      <w:r>
        <w:rPr>
          <w:rFonts w:ascii="宋体" w:hAnsi="宋体" w:eastAsia="宋体" w:cs="宋体"/>
          <w:color w:val="000000"/>
          <w:sz w:val="21"/>
          <w:szCs w:val="21"/>
        </w:rPr>
        <w:t>从免疫学的角度分析</w:t>
      </w:r>
      <w:r>
        <w:rPr>
          <w:rFonts w:ascii="Times New Roman" w:hAnsi="Times New Roman" w:eastAsia="Times New Roman" w:cs="Times New Roman"/>
          <w:color w:val="000000"/>
          <w:sz w:val="21"/>
          <w:szCs w:val="21"/>
        </w:rPr>
        <w:t>SLE</w:t>
      </w:r>
      <w:r>
        <w:rPr>
          <w:rFonts w:ascii="宋体" w:hAnsi="宋体" w:eastAsia="宋体" w:cs="宋体"/>
          <w:color w:val="000000"/>
          <w:sz w:val="21"/>
          <w:szCs w:val="21"/>
        </w:rPr>
        <w:t>属于</w:t>
      </w:r>
      <w:r>
        <w:rPr>
          <w:color w:val="000000"/>
          <w:sz w:val="21"/>
          <w:szCs w:val="21"/>
        </w:rPr>
        <w:t>____</w:t>
      </w:r>
      <w:r>
        <w:rPr>
          <w:rFonts w:ascii="宋体" w:hAnsi="宋体" w:eastAsia="宋体" w:cs="宋体"/>
          <w:color w:val="000000"/>
          <w:sz w:val="21"/>
          <w:szCs w:val="21"/>
        </w:rPr>
        <w:t>病。近年来科学家尝试了利用人源化改造的靶向</w:t>
      </w:r>
      <w:r>
        <w:rPr>
          <w:rFonts w:ascii="Times New Roman" w:hAnsi="Times New Roman" w:eastAsia="Times New Roman" w:cs="Times New Roman"/>
          <w:color w:val="000000"/>
          <w:sz w:val="21"/>
          <w:szCs w:val="21"/>
        </w:rPr>
        <w:t>BAFF</w:t>
      </w:r>
      <w:r>
        <w:rPr>
          <w:rFonts w:ascii="宋体" w:hAnsi="宋体" w:eastAsia="宋体" w:cs="宋体"/>
          <w:color w:val="000000"/>
          <w:sz w:val="21"/>
          <w:szCs w:val="21"/>
        </w:rPr>
        <w:t>的贝利木单克隆抗体治疗</w:t>
      </w:r>
      <w:r>
        <w:rPr>
          <w:rFonts w:ascii="Times New Roman" w:hAnsi="Times New Roman" w:eastAsia="Times New Roman" w:cs="Times New Roman"/>
          <w:color w:val="000000"/>
          <w:sz w:val="21"/>
          <w:szCs w:val="21"/>
        </w:rPr>
        <w:t>SLE</w:t>
      </w:r>
      <w:r>
        <w:rPr>
          <w:rFonts w:ascii="宋体" w:hAnsi="宋体" w:eastAsia="宋体" w:cs="宋体"/>
          <w:color w:val="000000"/>
          <w:sz w:val="21"/>
          <w:szCs w:val="21"/>
        </w:rPr>
        <w:t>。人源化改造的目的是</w:t>
      </w:r>
      <w:r>
        <w:rPr>
          <w:color w:val="000000"/>
          <w:sz w:val="21"/>
          <w:szCs w:val="21"/>
        </w:rPr>
        <w:t>____</w:t>
      </w:r>
      <w:r>
        <w:rPr>
          <w:rFonts w:ascii="宋体" w:hAnsi="宋体" w:eastAsia="宋体" w:cs="宋体"/>
          <w:color w:val="000000"/>
          <w:sz w:val="21"/>
          <w:szCs w:val="21"/>
        </w:rPr>
        <w:t>。贝利木单克隆抗体治疗</w:t>
      </w:r>
      <w:r>
        <w:rPr>
          <w:rFonts w:ascii="Times New Roman" w:hAnsi="Times New Roman" w:eastAsia="Times New Roman" w:cs="Times New Roman"/>
          <w:color w:val="000000"/>
          <w:sz w:val="21"/>
          <w:szCs w:val="21"/>
        </w:rPr>
        <w:t>SLE</w:t>
      </w:r>
      <w:r>
        <w:rPr>
          <w:rFonts w:ascii="宋体" w:hAnsi="宋体" w:eastAsia="宋体" w:cs="宋体"/>
          <w:color w:val="000000"/>
          <w:sz w:val="21"/>
          <w:szCs w:val="21"/>
        </w:rPr>
        <w:t>的机理</w:t>
      </w:r>
      <w:r>
        <w:rPr>
          <w:color w:val="000000"/>
          <w:sz w:val="21"/>
          <w:szCs w:val="21"/>
        </w:rPr>
        <w:t>____</w:t>
      </w:r>
      <w:r>
        <w:rPr>
          <w:rFonts w:hint="eastAsia"/>
          <w:color w:val="000000"/>
          <w:sz w:val="21"/>
          <w:szCs w:val="21"/>
          <w:lang w:eastAsia="zh-CN"/>
        </w:rPr>
        <w:t>（</w:t>
      </w:r>
      <w:r>
        <w:rPr>
          <w:rFonts w:hint="eastAsia"/>
          <w:color w:val="000000"/>
          <w:sz w:val="21"/>
          <w:szCs w:val="21"/>
          <w:lang w:val="en-US" w:eastAsia="zh-CN"/>
        </w:rPr>
        <w:t>2分）</w:t>
      </w:r>
      <w:r>
        <w:rPr>
          <w:rFonts w:ascii="宋体" w:hAns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2</w:t>
      </w:r>
      <w:r>
        <w:rPr>
          <w:rFonts w:hint="eastAsia"/>
          <w:color w:val="000000"/>
          <w:sz w:val="21"/>
          <w:szCs w:val="21"/>
          <w:lang w:val="en-US" w:eastAsia="zh-CN"/>
        </w:rPr>
        <w:t>2</w:t>
      </w:r>
      <w:r>
        <w:rPr>
          <w:color w:val="000000"/>
          <w:sz w:val="21"/>
          <w:szCs w:val="21"/>
        </w:rPr>
        <w:t xml:space="preserve">. </w:t>
      </w:r>
      <w:r>
        <w:rPr>
          <w:rFonts w:hint="eastAsia"/>
          <w:color w:val="000000"/>
          <w:sz w:val="21"/>
          <w:szCs w:val="21"/>
          <w:lang w:eastAsia="zh-CN"/>
        </w:rPr>
        <w:t>（</w:t>
      </w:r>
      <w:r>
        <w:rPr>
          <w:rFonts w:hint="eastAsia"/>
          <w:color w:val="000000"/>
          <w:sz w:val="21"/>
          <w:szCs w:val="21"/>
          <w:lang w:val="en-US" w:eastAsia="zh-CN"/>
        </w:rPr>
        <w:t>12分）</w:t>
      </w:r>
      <w:r>
        <w:rPr>
          <w:rFonts w:ascii="宋体" w:hAnsi="宋体" w:eastAsia="宋体" w:cs="宋体"/>
          <w:color w:val="000000"/>
          <w:sz w:val="21"/>
          <w:szCs w:val="21"/>
        </w:rPr>
        <w:t>丹顶鹤是我国一级保护动物，属于迁徙种群，从俄罗斯兴安斯克自然保护区沿松嫩平原到渤海湾，然后沿着河北省海岸向黄河河口和盐城越冬。丹顶鹤作为杂食性动物，最喜欢在低矮的碱蓬地里捕食天津厚蟹来补充能量。下图是盐城海滩生态系统中部分食物关系图，请回答：</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drawing>
          <wp:inline distT="0" distB="0" distL="114300" distR="114300">
            <wp:extent cx="2381885" cy="1759585"/>
            <wp:effectExtent l="0" t="0" r="18415" b="1206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2381885" cy="17595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（1）</w:t>
      </w:r>
      <w:r>
        <w:rPr>
          <w:rFonts w:ascii="宋体" w:hAnsi="宋体" w:eastAsia="宋体" w:cs="宋体"/>
          <w:color w:val="000000"/>
          <w:sz w:val="21"/>
          <w:szCs w:val="21"/>
        </w:rPr>
        <w:t>丹顶鹤属于第</w:t>
      </w:r>
      <w:r>
        <w:rPr>
          <w:color w:val="000000"/>
          <w:sz w:val="21"/>
          <w:szCs w:val="21"/>
        </w:rPr>
        <w:t>____</w:t>
      </w:r>
      <w:r>
        <w:rPr>
          <w:rFonts w:ascii="宋体" w:hAnsi="宋体" w:eastAsia="宋体" w:cs="宋体"/>
          <w:color w:val="000000"/>
          <w:sz w:val="21"/>
          <w:szCs w:val="21"/>
        </w:rPr>
        <w:t>（营养级），影响盐城海滩丹顶鹤种群密度最主要的数量特征是</w:t>
      </w:r>
      <w:r>
        <w:rPr>
          <w:color w:val="000000"/>
          <w:sz w:val="21"/>
          <w:szCs w:val="21"/>
        </w:rPr>
        <w:t>____</w:t>
      </w:r>
      <w:r>
        <w:rPr>
          <w:rFonts w:ascii="宋体" w:hAns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（2）</w:t>
      </w:r>
      <w:r>
        <w:rPr>
          <w:rFonts w:ascii="宋体" w:hAnsi="宋体" w:eastAsia="宋体" w:cs="宋体"/>
          <w:color w:val="000000"/>
          <w:sz w:val="21"/>
          <w:szCs w:val="21"/>
        </w:rPr>
        <w:t>图中弹涂鱼与</w:t>
      </w:r>
      <w:r>
        <w:rPr>
          <w:color w:val="000000"/>
          <w:sz w:val="21"/>
          <w:szCs w:val="21"/>
        </w:rPr>
        <w:t>____</w:t>
      </w:r>
      <w:r>
        <w:rPr>
          <w:rFonts w:ascii="宋体" w:hAnsi="宋体" w:eastAsia="宋体" w:cs="宋体"/>
          <w:color w:val="000000"/>
          <w:sz w:val="21"/>
          <w:szCs w:val="21"/>
        </w:rPr>
        <w:t>之间的种间关系既有捕食又有种间竞争。天津厚蟹同化的氮元素的去向有</w:t>
      </w:r>
      <w:r>
        <w:rPr>
          <w:color w:val="000000"/>
          <w:sz w:val="21"/>
          <w:szCs w:val="21"/>
        </w:rPr>
        <w:t>____</w:t>
      </w:r>
      <w:r>
        <w:rPr>
          <w:rFonts w:ascii="宋体" w:hAnsi="宋体" w:eastAsia="宋体" w:cs="宋体"/>
          <w:color w:val="000000"/>
          <w:sz w:val="21"/>
          <w:szCs w:val="21"/>
        </w:rPr>
        <w:t>。如果海滩受到重金属镉污染，则图中生物体内镉浓度最高的是</w:t>
      </w:r>
      <w:r>
        <w:rPr>
          <w:color w:val="000000"/>
          <w:sz w:val="21"/>
          <w:szCs w:val="21"/>
        </w:rPr>
        <w:t>____</w:t>
      </w:r>
      <w:r>
        <w:rPr>
          <w:rFonts w:ascii="宋体" w:hAns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（3）</w:t>
      </w:r>
      <w:r>
        <w:rPr>
          <w:rFonts w:ascii="宋体" w:hAnsi="宋体" w:eastAsia="宋体" w:cs="宋体"/>
          <w:color w:val="000000"/>
          <w:sz w:val="21"/>
          <w:szCs w:val="21"/>
        </w:rPr>
        <w:t>互花米草入侵后丹顶鹤的数量减少，科研人员研究了丹顶鹤对不同生境选择的偏好以及影响因素，结果如下表：</w:t>
      </w:r>
    </w:p>
    <w:tbl>
      <w:tblPr>
        <w:tblStyle w:val="4"/>
        <w:tblW w:w="7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63"/>
        <w:gridCol w:w="1142"/>
        <w:gridCol w:w="1142"/>
        <w:gridCol w:w="1278"/>
        <w:gridCol w:w="1142"/>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br w:type="textWrapping"/>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宋体" w:hAnsi="宋体" w:eastAsia="宋体" w:cs="宋体"/>
                <w:color w:val="000000"/>
                <w:sz w:val="21"/>
                <w:szCs w:val="21"/>
              </w:rPr>
              <w:t>植被高度</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cm</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宋体" w:hAnsi="宋体" w:eastAsia="宋体" w:cs="宋体"/>
                <w:color w:val="000000"/>
                <w:sz w:val="21"/>
                <w:szCs w:val="21"/>
              </w:rPr>
              <w:t>植被盖度</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宋体" w:hAnsi="宋体" w:eastAsia="宋体" w:cs="宋体"/>
                <w:color w:val="000000"/>
                <w:sz w:val="21"/>
                <w:szCs w:val="21"/>
              </w:rPr>
              <w:t>可用植物生物量</w:t>
            </w:r>
            <w:r>
              <w:rPr>
                <w:rFonts w:ascii="Times New Roman" w:hAnsi="Times New Roman" w:eastAsia="Times New Roman" w:cs="Times New Roman"/>
                <w:color w:val="000000"/>
                <w:sz w:val="21"/>
                <w:szCs w:val="21"/>
              </w:rPr>
              <w:t>g/m</w:t>
            </w:r>
            <w:r>
              <w:rPr>
                <w:color w:val="000000"/>
                <w:sz w:val="21"/>
                <w:szCs w:val="21"/>
                <w:vertAlign w:val="superscript"/>
              </w:rPr>
              <w:t>2</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宋体" w:hAnsi="宋体" w:eastAsia="宋体" w:cs="宋体"/>
                <w:color w:val="000000"/>
                <w:sz w:val="21"/>
                <w:szCs w:val="21"/>
              </w:rPr>
              <w:t>底栖生物量</w:t>
            </w:r>
            <w:r>
              <w:rPr>
                <w:rFonts w:ascii="Times New Roman" w:hAnsi="Times New Roman" w:eastAsia="Times New Roman" w:cs="Times New Roman"/>
                <w:color w:val="000000"/>
                <w:sz w:val="21"/>
                <w:szCs w:val="21"/>
              </w:rPr>
              <w:t>g/m</w:t>
            </w:r>
            <w:r>
              <w:rPr>
                <w:color w:val="000000"/>
                <w:sz w:val="21"/>
                <w:szCs w:val="21"/>
                <w:vertAlign w:val="superscript"/>
              </w:rPr>
              <w:t>2</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宋体" w:hAnsi="宋体" w:eastAsia="宋体" w:cs="宋体"/>
                <w:color w:val="000000"/>
                <w:sz w:val="21"/>
                <w:szCs w:val="21"/>
              </w:rPr>
              <w:t>丹顶鹤生境选择性</w:t>
            </w:r>
            <w:r>
              <w:rPr>
                <w:rFonts w:ascii="Times New Roman" w:hAnsi="Times New Roman" w:eastAsia="Times New Roman"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宋体" w:hAnsi="宋体" w:eastAsia="宋体" w:cs="宋体"/>
                <w:color w:val="000000"/>
                <w:sz w:val="21"/>
                <w:szCs w:val="21"/>
              </w:rPr>
              <w:t>本地碱蓬</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38.22</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34.13</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761.25</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52.50</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宋体" w:hAnsi="宋体" w:eastAsia="宋体" w:cs="宋体"/>
                <w:color w:val="000000"/>
                <w:sz w:val="21"/>
                <w:szCs w:val="21"/>
              </w:rPr>
              <w:t>互花米草</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162.19</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88.89</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1832.00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112.10</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宋体" w:hAnsi="宋体" w:eastAsia="宋体" w:cs="宋体"/>
                <w:color w:val="000000"/>
                <w:sz w:val="21"/>
                <w:szCs w:val="21"/>
              </w:rPr>
              <w:t>人工管理芦苇（收割前）</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187.07</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97.50</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714.80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40.60</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12.79%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宋体" w:hAnsi="宋体" w:eastAsia="宋体" w:cs="宋体"/>
                <w:color w:val="000000"/>
                <w:sz w:val="21"/>
                <w:szCs w:val="21"/>
              </w:rPr>
              <w:t>人工管理芦苇（收割后）</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5.00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3.13</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56.09</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32.10</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Times New Roman" w:hAnsi="Times New Roman" w:eastAsia="Times New Roman" w:cs="Times New Roman"/>
                <w:color w:val="000000"/>
                <w:sz w:val="21"/>
                <w:szCs w:val="21"/>
              </w:rPr>
              <w:t>36.72%</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宋体" w:hAnsi="宋体" w:eastAsia="宋体" w:cs="宋体"/>
          <w:color w:val="000000"/>
          <w:sz w:val="21"/>
          <w:szCs w:val="21"/>
        </w:rPr>
        <w:t>①影响丹顶鹤生境选择性的最重要的两个因素是</w:t>
      </w:r>
      <w:r>
        <w:rPr>
          <w:color w:val="000000"/>
          <w:sz w:val="21"/>
          <w:szCs w:val="21"/>
        </w:rPr>
        <w:t>____</w:t>
      </w:r>
      <w:r>
        <w:rPr>
          <w:rFonts w:ascii="宋体" w:hAns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宋体" w:hAnsi="宋体" w:eastAsia="宋体" w:cs="宋体"/>
          <w:color w:val="000000"/>
          <w:sz w:val="21"/>
          <w:szCs w:val="21"/>
        </w:rPr>
        <w:t>②互花米草入侵后海滩群落发生</w:t>
      </w:r>
      <w:r>
        <w:rPr>
          <w:color w:val="000000"/>
          <w:sz w:val="21"/>
          <w:szCs w:val="21"/>
        </w:rPr>
        <w:t>____</w:t>
      </w:r>
      <w:r>
        <w:rPr>
          <w:rFonts w:ascii="宋体" w:hAnsi="宋体" w:eastAsia="宋体" w:cs="宋体"/>
          <w:color w:val="000000"/>
          <w:sz w:val="21"/>
          <w:szCs w:val="21"/>
        </w:rPr>
        <w:t>演替。互花米草入侵导致丹顶鹤数量减少的原因是本地碱蓬减少导致</w:t>
      </w:r>
      <w:r>
        <w:rPr>
          <w:color w:val="000000"/>
          <w:sz w:val="21"/>
          <w:szCs w:val="21"/>
        </w:rPr>
        <w:t>____</w:t>
      </w:r>
      <w:r>
        <w:rPr>
          <w:rFonts w:ascii="宋体" w:hAnsi="宋体" w:eastAsia="宋体" w:cs="宋体"/>
          <w:color w:val="000000"/>
          <w:sz w:val="21"/>
          <w:szCs w:val="21"/>
        </w:rPr>
        <w:t>减少，同时互花米草</w:t>
      </w:r>
      <w:r>
        <w:rPr>
          <w:color w:val="000000"/>
          <w:sz w:val="21"/>
          <w:szCs w:val="21"/>
        </w:rPr>
        <w:t>____</w:t>
      </w:r>
      <w:r>
        <w:rPr>
          <w:rFonts w:ascii="宋体" w:hAnsi="宋体" w:eastAsia="宋体" w:cs="宋体"/>
          <w:color w:val="000000"/>
          <w:sz w:val="21"/>
          <w:szCs w:val="21"/>
        </w:rPr>
        <w:t>不利于丹顶鹤的活动。</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（4）</w:t>
      </w:r>
      <w:r>
        <w:rPr>
          <w:rFonts w:ascii="宋体" w:hAnsi="宋体" w:eastAsia="宋体" w:cs="宋体"/>
          <w:color w:val="000000"/>
          <w:sz w:val="21"/>
          <w:szCs w:val="21"/>
        </w:rPr>
        <w:t>研究发现互花米草的入侵导致碱蓬的减少，丹顶鹤的生境不得不转向芦苇塘、农田和水产养殖塘，科研人员研究了丹顶鹤在四种不同生境中的集群特征，结果如下表：</w:t>
      </w:r>
    </w:p>
    <w:tbl>
      <w:tblPr>
        <w:tblStyle w:val="4"/>
        <w:tblW w:w="7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30"/>
        <w:gridCol w:w="1129"/>
        <w:gridCol w:w="1144"/>
        <w:gridCol w:w="1144"/>
        <w:gridCol w:w="1144"/>
        <w:gridCol w:w="994"/>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425"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生境类型</w:t>
            </w:r>
          </w:p>
        </w:tc>
        <w:tc>
          <w:tcPr>
            <w:tcW w:w="1125"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平均集群大小</w:t>
            </w:r>
            <w:r>
              <w:rPr>
                <w:rFonts w:ascii="Times New Roman" w:hAnsi="Times New Roman" w:eastAsia="Times New Roman" w:cs="Times New Roman"/>
                <w:color w:val="000000"/>
                <w:sz w:val="21"/>
                <w:szCs w:val="21"/>
              </w:rPr>
              <w:t>/</w:t>
            </w:r>
            <w:r>
              <w:rPr>
                <w:rFonts w:ascii="宋体" w:hAnsi="宋体" w:eastAsia="宋体" w:cs="宋体"/>
                <w:color w:val="000000"/>
                <w:sz w:val="21"/>
                <w:szCs w:val="21"/>
              </w:rPr>
              <w:t>只</w:t>
            </w:r>
          </w:p>
        </w:tc>
        <w:tc>
          <w:tcPr>
            <w:tcW w:w="2265"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集大群</w:t>
            </w:r>
          </w:p>
        </w:tc>
        <w:tc>
          <w:tcPr>
            <w:tcW w:w="2130"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家庭群</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孤鹤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p>
        </w:tc>
        <w:tc>
          <w:tcPr>
            <w:vMerge w:val="continue"/>
            <w:tcBorders>
              <w:top w:val="single" w:color="000000" w:sz="6" w:space="0"/>
              <w:left w:val="single" w:color="000000" w:sz="6" w:space="0"/>
              <w:bottom w:val="single" w:color="000000" w:sz="6" w:space="0"/>
              <w:right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大小</w:t>
            </w:r>
            <w:r>
              <w:rPr>
                <w:rFonts w:ascii="Times New Roman" w:hAnsi="Times New Roman" w:eastAsia="Times New Roman" w:cs="Times New Roman"/>
                <w:color w:val="000000"/>
                <w:sz w:val="21"/>
                <w:szCs w:val="21"/>
              </w:rPr>
              <w:t>/</w:t>
            </w:r>
            <w:r>
              <w:rPr>
                <w:rFonts w:ascii="宋体" w:hAnsi="宋体" w:eastAsia="宋体" w:cs="宋体"/>
                <w:color w:val="000000"/>
                <w:sz w:val="21"/>
                <w:szCs w:val="21"/>
              </w:rPr>
              <w:t>只</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占比</w:t>
            </w:r>
            <w:r>
              <w:rPr>
                <w:rFonts w:ascii="Times New Roman" w:hAnsi="Times New Roman" w:eastAsia="Times New Roman" w:cs="Times New Roman"/>
                <w:color w:val="000000"/>
                <w:sz w:val="21"/>
                <w:szCs w:val="21"/>
              </w:rPr>
              <w:t>%</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大小</w:t>
            </w:r>
            <w:r>
              <w:rPr>
                <w:rFonts w:ascii="Times New Roman" w:hAnsi="Times New Roman" w:eastAsia="Times New Roman" w:cs="Times New Roman"/>
                <w:color w:val="000000"/>
                <w:sz w:val="21"/>
                <w:szCs w:val="21"/>
              </w:rPr>
              <w:t>/</w:t>
            </w:r>
            <w:r>
              <w:rPr>
                <w:rFonts w:ascii="宋体" w:hAnsi="宋体" w:eastAsia="宋体" w:cs="宋体"/>
                <w:color w:val="000000"/>
                <w:sz w:val="21"/>
                <w:szCs w:val="21"/>
              </w:rPr>
              <w:t>只</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占比</w:t>
            </w:r>
            <w:r>
              <w:rPr>
                <w:rFonts w:ascii="Times New Roman" w:hAnsi="Times New Roman" w:eastAsia="Times New Roman" w:cs="Times New Roman"/>
                <w:color w:val="000000"/>
                <w:sz w:val="21"/>
                <w:szCs w:val="21"/>
              </w:rPr>
              <w:t>%</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占比</w:t>
            </w:r>
            <w:r>
              <w:rPr>
                <w:rFonts w:ascii="Times New Roman" w:hAnsi="Times New Roman" w:eastAsia="Times New Roman"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碱蓬滩涂</w:t>
            </w:r>
          </w:p>
        </w:tc>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4.7</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10.8</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21.6</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3.0</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78.4</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芦苇塘</w:t>
            </w:r>
          </w:p>
        </w:tc>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3.5</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8.5</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14.7%</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2.7</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81.3</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农田</w:t>
            </w:r>
          </w:p>
        </w:tc>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6.3</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13.7</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30.2%</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2.9</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69.0</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水产养殖塘</w:t>
            </w:r>
          </w:p>
        </w:tc>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3.5</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7.1</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13.2%</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3.0</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85.5</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1.3</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宋体" w:hAnsi="宋体" w:eastAsia="宋体" w:cs="宋体"/>
          <w:color w:val="000000"/>
          <w:sz w:val="21"/>
          <w:szCs w:val="21"/>
        </w:rPr>
        <w:t>①根据实验结果可知，丹顶鹤最喜欢的集群方式是</w:t>
      </w:r>
      <w:r>
        <w:rPr>
          <w:color w:val="000000"/>
          <w:sz w:val="21"/>
          <w:szCs w:val="21"/>
        </w:rPr>
        <w:t>____</w:t>
      </w:r>
      <w:r>
        <w:rPr>
          <w:rFonts w:ascii="宋体" w:hAns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宋体" w:hAnsi="宋体" w:eastAsia="宋体" w:cs="宋体"/>
          <w:color w:val="000000"/>
          <w:sz w:val="21"/>
          <w:szCs w:val="21"/>
        </w:rPr>
        <w:t>②一般而言，集大群会导致种内竞争加剧，但丹顶鹤在农田中集大群比例上升的原因是：一方面集大群可以降低</w:t>
      </w:r>
      <w:r>
        <w:rPr>
          <w:color w:val="000000"/>
          <w:sz w:val="21"/>
          <w:szCs w:val="21"/>
        </w:rPr>
        <w:t>____</w:t>
      </w:r>
      <w:r>
        <w:rPr>
          <w:rFonts w:ascii="宋体" w:hAnsi="宋体" w:eastAsia="宋体" w:cs="宋体"/>
          <w:color w:val="000000"/>
          <w:sz w:val="21"/>
          <w:szCs w:val="21"/>
        </w:rPr>
        <w:t>的风险，另一方面农田中</w:t>
      </w:r>
      <w:r>
        <w:rPr>
          <w:color w:val="000000"/>
          <w:sz w:val="21"/>
          <w:szCs w:val="21"/>
        </w:rPr>
        <w:t>____</w:t>
      </w:r>
      <w:r>
        <w:rPr>
          <w:rFonts w:ascii="宋体" w:hAnsi="宋体" w:eastAsia="宋体" w:cs="宋体"/>
          <w:color w:val="000000"/>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color w:val="000000"/>
          <w:sz w:val="21"/>
          <w:szCs w:val="21"/>
        </w:rPr>
        <w:t>2</w:t>
      </w:r>
      <w:r>
        <w:rPr>
          <w:rFonts w:hint="eastAsia"/>
          <w:color w:val="000000"/>
          <w:sz w:val="21"/>
          <w:szCs w:val="21"/>
          <w:lang w:val="en-US" w:eastAsia="zh-CN"/>
        </w:rPr>
        <w:t>3</w:t>
      </w:r>
      <w:r>
        <w:rPr>
          <w:color w:val="000000"/>
          <w:sz w:val="21"/>
          <w:szCs w:val="21"/>
        </w:rPr>
        <w:t>.</w:t>
      </w:r>
      <w:r>
        <w:rPr>
          <w:rFonts w:hint="eastAsia"/>
          <w:color w:val="000000"/>
          <w:sz w:val="21"/>
          <w:szCs w:val="21"/>
          <w:lang w:eastAsia="zh-CN"/>
        </w:rPr>
        <w:t>（</w:t>
      </w:r>
      <w:r>
        <w:rPr>
          <w:rFonts w:hint="eastAsia"/>
          <w:color w:val="000000"/>
          <w:sz w:val="21"/>
          <w:szCs w:val="21"/>
          <w:lang w:val="en-US" w:eastAsia="zh-CN"/>
        </w:rPr>
        <w:t>12分</w:t>
      </w:r>
      <w:r>
        <w:rPr>
          <w:rFonts w:hint="eastAsia"/>
          <w:color w:val="000000"/>
          <w:sz w:val="21"/>
          <w:szCs w:val="21"/>
          <w:lang w:eastAsia="zh-CN"/>
        </w:rPr>
        <w:t>）</w:t>
      </w:r>
      <w:r>
        <w:rPr>
          <w:sz w:val="21"/>
          <w:szCs w:val="21"/>
        </w:rPr>
        <w:t>皮肤上的痒觉、痛觉感受器均能将刺激引发的信号通过脊髓背根神经节（DRG）的感觉神经元传入脊髓，经整合、上传，产生相应感觉，其机制如图1。组胺刺激使小鼠产生痒觉，引起抓挠行为。研究发现，小鼠DRG神经元中的PTEN蛋白参与痒觉信号传递。为探究PTEN蛋白的作用，研究者进行了相关实验。回答下列问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rFonts w:ascii="Times New Roman" w:hAnsi="Times New Roman" w:eastAsia="Times New Roman" w:cs="Times New Roman"/>
          <w:strike w:val="0"/>
          <w:kern w:val="0"/>
          <w:sz w:val="21"/>
          <w:szCs w:val="21"/>
          <w:u w:val="none"/>
        </w:rPr>
        <w:drawing>
          <wp:inline distT="0" distB="0" distL="114300" distR="114300">
            <wp:extent cx="2742565" cy="1304925"/>
            <wp:effectExtent l="0" t="0" r="635" b="3175"/>
            <wp:docPr id="6" name="图片 6" descr="@@@ed4bfc2e-e6e1-4cf5-abf8-924efb68e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d4bfc2e-e6e1-4cf5-abf8-924efb68ea35"/>
                    <pic:cNvPicPr>
                      <a:picLocks noChangeAspect="1"/>
                    </pic:cNvPicPr>
                  </pic:nvPicPr>
                  <pic:blipFill>
                    <a:blip r:embed="rId25"/>
                    <a:stretch>
                      <a:fillRect/>
                    </a:stretch>
                  </pic:blipFill>
                  <pic:spPr>
                    <a:xfrm>
                      <a:off x="0" y="0"/>
                      <a:ext cx="2742565" cy="1304925"/>
                    </a:xfrm>
                    <a:prstGeom prst="rect">
                      <a:avLst/>
                    </a:prstGeom>
                  </pic:spPr>
                </pic:pic>
              </a:graphicData>
            </a:graphic>
          </wp:inline>
        </w:drawing>
      </w:r>
      <w:r>
        <w:rPr>
          <w:rFonts w:hint="eastAsia" w:cs="Times New Roman"/>
          <w:strike w:val="0"/>
          <w:kern w:val="0"/>
          <w:sz w:val="21"/>
          <w:szCs w:val="21"/>
          <w:u w:val="none"/>
          <w:lang w:val="en-US" w:eastAsia="zh-CN"/>
        </w:rPr>
        <w:t xml:space="preserve">  </w:t>
      </w:r>
      <w:r>
        <w:rPr>
          <w:rFonts w:ascii="Times New Roman" w:hAnsi="Times New Roman" w:eastAsia="Times New Roman" w:cs="Times New Roman"/>
          <w:strike w:val="0"/>
          <w:kern w:val="0"/>
          <w:sz w:val="21"/>
          <w:szCs w:val="21"/>
          <w:u w:val="none"/>
        </w:rPr>
        <w:drawing>
          <wp:inline distT="0" distB="0" distL="114300" distR="114300">
            <wp:extent cx="2600960" cy="1340485"/>
            <wp:effectExtent l="0" t="0" r="2540" b="5715"/>
            <wp:docPr id="7" name="图片 7" descr="@@@292921c6-8441-4c45-a43e-214288fa0f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92921c6-8441-4c45-a43e-214288fa0f69"/>
                    <pic:cNvPicPr>
                      <a:picLocks noChangeAspect="1"/>
                    </pic:cNvPicPr>
                  </pic:nvPicPr>
                  <pic:blipFill>
                    <a:blip r:embed="rId26"/>
                    <a:stretch>
                      <a:fillRect/>
                    </a:stretch>
                  </pic:blipFill>
                  <pic:spPr>
                    <a:xfrm>
                      <a:off x="0" y="0"/>
                      <a:ext cx="2600960" cy="134048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(1)机体产生痒觉的部位是</w:t>
      </w:r>
      <w:r>
        <w:rPr>
          <w:rFonts w:ascii="Times New Roman" w:hAnsi="Times New Roman" w:eastAsia="Times New Roman" w:cs="Times New Roman"/>
          <w:b w:val="0"/>
          <w:sz w:val="21"/>
          <w:szCs w:val="21"/>
          <w:u w:val="single"/>
        </w:rPr>
        <w:t xml:space="preserve">    </w:t>
      </w:r>
      <w:r>
        <w:rPr>
          <w:sz w:val="21"/>
          <w:szCs w:val="21"/>
        </w:rPr>
        <w:t>，此过程</w:t>
      </w:r>
      <w:r>
        <w:rPr>
          <w:rFonts w:ascii="Times New Roman" w:hAnsi="Times New Roman" w:eastAsia="Times New Roman" w:cs="Times New Roman"/>
          <w:b w:val="0"/>
          <w:sz w:val="21"/>
          <w:szCs w:val="21"/>
          <w:u w:val="single"/>
        </w:rPr>
        <w:t xml:space="preserve">    </w:t>
      </w:r>
      <w:r>
        <w:rPr>
          <w:sz w:val="21"/>
          <w:szCs w:val="21"/>
        </w:rPr>
        <w:t>（填“属于”或“不属于”）反射。刺激痒觉感受器引发的信号在背根神经节（DRG）的神经纤维上以</w:t>
      </w:r>
      <w:r>
        <w:rPr>
          <w:rFonts w:ascii="Times New Roman" w:hAnsi="Times New Roman" w:eastAsia="Times New Roman" w:cs="Times New Roman"/>
          <w:b w:val="0"/>
          <w:sz w:val="21"/>
          <w:szCs w:val="21"/>
          <w:u w:val="single"/>
        </w:rPr>
        <w:t xml:space="preserve">    </w:t>
      </w:r>
      <w:r>
        <w:rPr>
          <w:sz w:val="21"/>
          <w:szCs w:val="21"/>
        </w:rPr>
        <w:t>的形式传导。兴奋在神经元间单向传递的原因是</w:t>
      </w:r>
      <w:r>
        <w:rPr>
          <w:rFonts w:ascii="Times New Roman" w:hAnsi="Times New Roman" w:eastAsia="Times New Roman" w:cs="Times New Roman"/>
          <w:b w:val="0"/>
          <w:sz w:val="21"/>
          <w:szCs w:val="21"/>
          <w:u w:val="single"/>
        </w:rPr>
        <w:t xml:space="preserve">    </w:t>
      </w:r>
      <w:r>
        <w:rPr>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(2)抓挠产生的疼痛在一定程度上可以缓解痒觉。由图1可知，“抓挠止痒”的原理可能是抓挠时皮肤痛觉感受器兴奋，通过传入神经合成和释放的Glu，作用于c细胞，c细胞释放的神经递质</w:t>
      </w:r>
      <w:r>
        <w:rPr>
          <w:rFonts w:ascii="Times New Roman" w:hAnsi="Times New Roman" w:eastAsia="Times New Roman" w:cs="Times New Roman"/>
          <w:b w:val="0"/>
          <w:sz w:val="21"/>
          <w:szCs w:val="21"/>
          <w:u w:val="single"/>
        </w:rPr>
        <w:t xml:space="preserve">    </w:t>
      </w:r>
      <w:r>
        <w:rPr>
          <w:sz w:val="21"/>
          <w:szCs w:val="21"/>
        </w:rPr>
        <w:t>b细胞的兴奋，最终阻止痒觉信号的传递，Glu属于</w:t>
      </w:r>
      <w:r>
        <w:rPr>
          <w:rFonts w:ascii="Times New Roman" w:hAnsi="Times New Roman" w:eastAsia="Times New Roman" w:cs="Times New Roman"/>
          <w:b w:val="0"/>
          <w:sz w:val="21"/>
          <w:szCs w:val="21"/>
          <w:u w:val="single"/>
        </w:rPr>
        <w:t xml:space="preserve">    </w:t>
      </w:r>
      <w:r>
        <w:rPr>
          <w:sz w:val="21"/>
          <w:szCs w:val="21"/>
        </w:rPr>
        <w:t>（选填“兴奋性”“抑制性”）神经递质。</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(3)用组胺分别刺激正常小鼠和PTEN基因敲除小鼠的皮肤，结果PTEN基因敲除的小鼠在相同条件的刺激下抓挠次数明显增多，推测PTEN蛋白的作用可能是</w:t>
      </w:r>
      <w:r>
        <w:rPr>
          <w:rFonts w:ascii="Times New Roman" w:hAnsi="Times New Roman" w:eastAsia="Times New Roman" w:cs="Times New Roman"/>
          <w:b w:val="0"/>
          <w:sz w:val="21"/>
          <w:szCs w:val="21"/>
          <w:u w:val="single"/>
        </w:rPr>
        <w:t xml:space="preserve">    </w:t>
      </w:r>
      <w:r>
        <w:rPr>
          <w:sz w:val="21"/>
          <w:szCs w:val="21"/>
        </w:rPr>
        <w:t>（选填“增强”“减弱”）机体对外源致痒剂的敏感性。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(4)科学工作者为研究兴奋在神经纤维上传导及突触间传递的情况，设计如图2所示实验，图中X=Y。</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①若在c点给予适宜强度的电刺激，电流计甲的指针将会发生</w:t>
      </w:r>
      <w:r>
        <w:rPr>
          <w:rFonts w:ascii="Times New Roman" w:hAnsi="Times New Roman" w:eastAsia="Times New Roman" w:cs="Times New Roman"/>
          <w:b w:val="0"/>
          <w:sz w:val="21"/>
          <w:szCs w:val="21"/>
          <w:u w:val="single"/>
        </w:rPr>
        <w:t xml:space="preserve">    </w:t>
      </w:r>
      <w:r>
        <w:rPr>
          <w:sz w:val="21"/>
          <w:szCs w:val="21"/>
        </w:rPr>
        <w:t>次偏转。</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②若利用电流计乙验证兴奋在突触间只能单向传递，则应分别刺激</w:t>
      </w:r>
      <w:r>
        <w:rPr>
          <w:rFonts w:ascii="Times New Roman" w:hAnsi="Times New Roman" w:eastAsia="Times New Roman" w:cs="Times New Roman"/>
          <w:b w:val="0"/>
          <w:sz w:val="21"/>
          <w:szCs w:val="21"/>
          <w:u w:val="single"/>
        </w:rPr>
        <w:t xml:space="preserve">    </w:t>
      </w:r>
      <w:r>
        <w:rPr>
          <w:sz w:val="21"/>
          <w:szCs w:val="21"/>
        </w:rPr>
        <w:t>两点，观察电流计乙指针的偏转情况进行分析判断。</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③刺激b点，观察到电流计甲、乙指针都发生了两次偏转，同时观察到电流计甲指针发生第二次偏转的时间早于电流计乙，说明</w:t>
      </w:r>
      <w:r>
        <w:rPr>
          <w:rFonts w:ascii="Times New Roman" w:hAnsi="Times New Roman" w:eastAsia="Times New Roman" w:cs="Times New Roman"/>
          <w:b w:val="0"/>
          <w:sz w:val="21"/>
          <w:szCs w:val="21"/>
          <w:u w:val="single"/>
        </w:rPr>
        <w:t xml:space="preserve">    </w:t>
      </w:r>
      <w:r>
        <w:rPr>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(5)科学家研究还发现，神经元之间的兴奋传递除了“化学突触”外，在甲壳类、鱼类以及哺乳类动物的某些部位还存在着通过电信号传递的电突触（如图3）。与化学突触相比，兴奋在电突触传递时的方向是</w:t>
      </w:r>
      <w:r>
        <w:rPr>
          <w:rFonts w:ascii="Times New Roman" w:hAnsi="Times New Roman" w:eastAsia="Times New Roman" w:cs="Times New Roman"/>
          <w:b w:val="0"/>
          <w:sz w:val="21"/>
          <w:szCs w:val="21"/>
          <w:u w:val="single"/>
        </w:rPr>
        <w:t xml:space="preserve">    </w:t>
      </w:r>
      <w:r>
        <w:rPr>
          <w:sz w:val="21"/>
          <w:szCs w:val="21"/>
        </w:rPr>
        <w:t>（填“单向”或“双向”）的，电突触传递信号的速率更快的原因是</w:t>
      </w:r>
      <w:r>
        <w:rPr>
          <w:rFonts w:ascii="Times New Roman" w:hAnsi="Times New Roman" w:eastAsia="Times New Roman" w:cs="Times New Roman"/>
          <w:b w:val="0"/>
          <w:sz w:val="21"/>
          <w:szCs w:val="21"/>
          <w:u w:val="single"/>
        </w:rPr>
        <w:t xml:space="preserve">    </w:t>
      </w:r>
      <w:r>
        <w:rPr>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hAnsi="Times New Roman" w:eastAsia="Times New Roman" w:cs="Times New Roman"/>
          <w:strike w:val="0"/>
          <w:kern w:val="0"/>
          <w:sz w:val="21"/>
          <w:szCs w:val="21"/>
          <w:u w:val="none"/>
        </w:rPr>
      </w:pPr>
      <w:bookmarkStart w:id="0" w:name="_GoBack"/>
      <w:r>
        <w:rPr>
          <w:rFonts w:ascii="Times New Roman" w:hAnsi="Times New Roman" w:eastAsia="Times New Roman" w:cs="Times New Roman"/>
          <w:strike w:val="0"/>
          <w:kern w:val="0"/>
          <w:sz w:val="21"/>
          <w:szCs w:val="21"/>
          <w:u w:val="none"/>
        </w:rPr>
        <w:drawing>
          <wp:inline distT="0" distB="0" distL="114300" distR="114300">
            <wp:extent cx="2718435" cy="1417320"/>
            <wp:effectExtent l="0" t="0" r="5715" b="11430"/>
            <wp:docPr id="8" name="图片 8" descr="@@@73bf6075-9e0a-435d-9917-139f032c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3bf6075-9e0a-435d-9917-139f032cd240"/>
                    <pic:cNvPicPr>
                      <a:picLocks noChangeAspect="1"/>
                    </pic:cNvPicPr>
                  </pic:nvPicPr>
                  <pic:blipFill>
                    <a:blip r:embed="rId27"/>
                    <a:stretch>
                      <a:fillRect/>
                    </a:stretch>
                  </pic:blipFill>
                  <pic:spPr>
                    <a:xfrm>
                      <a:off x="0" y="0"/>
                      <a:ext cx="2718435" cy="1417320"/>
                    </a:xfrm>
                    <a:prstGeom prst="rect">
                      <a:avLst/>
                    </a:prstGeom>
                  </pic:spPr>
                </pic:pic>
              </a:graphicData>
            </a:graphic>
          </wp:inline>
        </w:drawing>
      </w:r>
      <w:bookmarkEnd w:id="0"/>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hAnsi="Times New Roman" w:eastAsia="Times New Roman" w:cs="Times New Roman"/>
          <w:strike w:val="0"/>
          <w:kern w:val="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2</w:t>
      </w:r>
      <w:r>
        <w:rPr>
          <w:rFonts w:hint="eastAsia"/>
          <w:color w:val="000000"/>
          <w:sz w:val="21"/>
          <w:szCs w:val="21"/>
          <w:lang w:val="en-US" w:eastAsia="zh-CN"/>
        </w:rPr>
        <w:t>4</w:t>
      </w:r>
      <w:r>
        <w:rPr>
          <w:color w:val="000000"/>
          <w:sz w:val="21"/>
          <w:szCs w:val="21"/>
        </w:rPr>
        <w:t xml:space="preserve">. </w:t>
      </w:r>
      <w:r>
        <w:rPr>
          <w:rFonts w:hint="eastAsia"/>
          <w:color w:val="000000"/>
          <w:sz w:val="21"/>
          <w:szCs w:val="21"/>
          <w:lang w:eastAsia="zh-CN"/>
        </w:rPr>
        <w:t>（</w:t>
      </w:r>
      <w:r>
        <w:rPr>
          <w:rFonts w:hint="eastAsia"/>
          <w:color w:val="000000"/>
          <w:sz w:val="21"/>
          <w:szCs w:val="21"/>
          <w:lang w:val="en-US" w:eastAsia="zh-CN"/>
        </w:rPr>
        <w:t>11分</w:t>
      </w:r>
      <w:r>
        <w:rPr>
          <w:rFonts w:hint="eastAsia"/>
          <w:color w:val="000000"/>
          <w:sz w:val="21"/>
          <w:szCs w:val="21"/>
          <w:lang w:eastAsia="zh-CN"/>
        </w:rPr>
        <w:t>）</w:t>
      </w:r>
      <w:r>
        <w:rPr>
          <w:rFonts w:ascii="宋体" w:hAnsi="宋体" w:eastAsia="宋体" w:cs="宋体"/>
          <w:color w:val="000000"/>
          <w:sz w:val="21"/>
          <w:szCs w:val="21"/>
        </w:rPr>
        <w:t>豆科植物紫花苜蓿蛋白含量高，纤维含量相对较低，被誉为“牧草之王”。盐碱胁迫严重影响着紫花苜蓿的生长发育。科研人员从紫花苜蓿根瘤中筛选分离耐盐碱的根瘤菌，以期为开发根瘤菌微生物肥料提供优质菌株。下图是主要流程，请回答：</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drawing>
          <wp:inline distT="0" distB="0" distL="114300" distR="114300">
            <wp:extent cx="5779770" cy="1253490"/>
            <wp:effectExtent l="0" t="0" r="11430" b="3810"/>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5779770" cy="12534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宋体" w:hAnsi="宋体" w:eastAsia="宋体" w:cs="宋体"/>
          <w:color w:val="000000"/>
          <w:sz w:val="21"/>
          <w:szCs w:val="21"/>
        </w:rPr>
        <w:t>①</w:t>
      </w:r>
      <w:r>
        <w:rPr>
          <w:rFonts w:ascii="Times New Roman" w:hAnsi="Times New Roman" w:eastAsia="Times New Roman" w:cs="Times New Roman"/>
          <w:color w:val="000000"/>
          <w:sz w:val="21"/>
          <w:szCs w:val="21"/>
        </w:rPr>
        <w:t>1g</w:t>
      </w:r>
      <w:r>
        <w:rPr>
          <w:rFonts w:ascii="宋体" w:hAnsi="宋体" w:eastAsia="宋体" w:cs="宋体"/>
          <w:color w:val="000000"/>
          <w:sz w:val="21"/>
          <w:szCs w:val="21"/>
        </w:rPr>
        <w:t>根瘤消毒</w:t>
      </w:r>
      <w:r>
        <w:rPr>
          <w:rFonts w:ascii="Times New Roman" w:hAnsi="Times New Roman" w:eastAsia="Times New Roman" w:cs="Times New Roman"/>
          <w:color w:val="000000"/>
          <w:sz w:val="21"/>
          <w:szCs w:val="21"/>
        </w:rPr>
        <w:t xml:space="preserve"> </w:t>
      </w:r>
      <w:r>
        <w:rPr>
          <w:rFonts w:ascii="宋体" w:hAnsi="宋体" w:eastAsia="宋体" w:cs="宋体"/>
          <w:color w:val="000000"/>
          <w:sz w:val="21"/>
          <w:szCs w:val="21"/>
        </w:rPr>
        <w:t>②加入无菌水研磨成匀浆</w:t>
      </w:r>
      <w:r>
        <w:rPr>
          <w:rFonts w:ascii="Times New Roman" w:hAnsi="Times New Roman" w:eastAsia="Times New Roman" w:cs="Times New Roman"/>
          <w:color w:val="000000"/>
          <w:sz w:val="21"/>
          <w:szCs w:val="21"/>
        </w:rPr>
        <w:t xml:space="preserve">3mL </w:t>
      </w:r>
      <w:r>
        <w:rPr>
          <w:rFonts w:ascii="宋体" w:hAnsi="宋体" w:eastAsia="宋体" w:cs="宋体"/>
          <w:color w:val="000000"/>
          <w:sz w:val="21"/>
          <w:szCs w:val="21"/>
        </w:rPr>
        <w:t>③梯度稀释</w:t>
      </w:r>
      <w:r>
        <w:rPr>
          <w:rFonts w:ascii="Times New Roman" w:hAnsi="Times New Roman" w:eastAsia="Times New Roman" w:cs="Times New Roman"/>
          <w:color w:val="000000"/>
          <w:sz w:val="21"/>
          <w:szCs w:val="21"/>
        </w:rPr>
        <w:t xml:space="preserve"> </w:t>
      </w:r>
      <w:r>
        <w:rPr>
          <w:rFonts w:ascii="宋体" w:hAnsi="宋体" w:eastAsia="宋体" w:cs="宋体"/>
          <w:color w:val="000000"/>
          <w:sz w:val="21"/>
          <w:szCs w:val="21"/>
        </w:rPr>
        <w:t>④涂布平板</w:t>
      </w:r>
      <w:r>
        <w:rPr>
          <w:rFonts w:ascii="Times New Roman" w:hAnsi="Times New Roman" w:eastAsia="Times New Roman" w:cs="Times New Roman"/>
          <w:color w:val="000000"/>
          <w:sz w:val="21"/>
          <w:szCs w:val="21"/>
        </w:rPr>
        <w:t xml:space="preserve"> </w:t>
      </w:r>
      <w:r>
        <w:rPr>
          <w:rFonts w:ascii="宋体" w:hAnsi="宋体" w:eastAsia="宋体" w:cs="宋体"/>
          <w:color w:val="000000"/>
          <w:sz w:val="21"/>
          <w:szCs w:val="21"/>
        </w:rPr>
        <w:t>⑤纯化培养</w:t>
      </w:r>
      <w:r>
        <w:rPr>
          <w:rFonts w:ascii="Times New Roman" w:hAnsi="Times New Roman" w:eastAsia="Times New Roman" w:cs="Times New Roman"/>
          <w:color w:val="000000"/>
          <w:sz w:val="21"/>
          <w:szCs w:val="21"/>
        </w:rPr>
        <w:t xml:space="preserve"> </w:t>
      </w:r>
      <w:r>
        <w:rPr>
          <w:rFonts w:ascii="宋体" w:hAnsi="宋体" w:eastAsia="宋体" w:cs="宋体"/>
          <w:color w:val="000000"/>
          <w:sz w:val="21"/>
          <w:szCs w:val="21"/>
        </w:rPr>
        <w:t>⑥耐盐根瘤菌株的复筛</w:t>
      </w:r>
    </w:p>
    <w:tbl>
      <w:tblPr>
        <w:tblStyle w:val="4"/>
        <w:tblW w:w="7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5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宋体" w:hAnsi="宋体" w:eastAsia="宋体" w:cs="宋体"/>
                <w:color w:val="000000"/>
                <w:sz w:val="21"/>
                <w:szCs w:val="21"/>
              </w:rPr>
              <w:t>酵母甘露醇琼脂（</w:t>
            </w:r>
            <w:r>
              <w:rPr>
                <w:rFonts w:ascii="Times New Roman" w:hAnsi="Times New Roman" w:eastAsia="Times New Roman" w:cs="Times New Roman"/>
                <w:color w:val="000000"/>
                <w:sz w:val="21"/>
                <w:szCs w:val="21"/>
              </w:rPr>
              <w:t>YMA</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g/L</w:t>
            </w:r>
            <w:r>
              <w:rPr>
                <w:rFonts w:ascii="宋体" w:hAnsi="宋体" w:eastAsia="宋体" w:cs="宋体"/>
                <w:color w:val="000000"/>
                <w:sz w:val="21"/>
                <w:szCs w:val="21"/>
              </w:rPr>
              <w:t>）：酵母提取物</w:t>
            </w:r>
            <w:r>
              <w:rPr>
                <w:rFonts w:ascii="Times New Roman" w:hAnsi="Times New Roman" w:eastAsia="Times New Roman" w:cs="Times New Roman"/>
                <w:color w:val="000000"/>
                <w:sz w:val="21"/>
                <w:szCs w:val="21"/>
              </w:rPr>
              <w:t>20.0</w:t>
            </w:r>
            <w:r>
              <w:rPr>
                <w:rFonts w:ascii="宋体" w:hAnsi="宋体" w:eastAsia="宋体" w:cs="宋体"/>
                <w:color w:val="000000"/>
                <w:sz w:val="21"/>
                <w:szCs w:val="21"/>
              </w:rPr>
              <w:t>，甘露醇</w:t>
            </w:r>
            <w:r>
              <w:rPr>
                <w:rFonts w:ascii="Times New Roman" w:hAnsi="Times New Roman" w:eastAsia="Times New Roman" w:cs="Times New Roman"/>
                <w:color w:val="000000"/>
                <w:sz w:val="21"/>
                <w:szCs w:val="21"/>
              </w:rPr>
              <w:t>5.0</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K</w:t>
            </w:r>
            <w:r>
              <w:rPr>
                <w:color w:val="000000"/>
                <w:sz w:val="21"/>
                <w:szCs w:val="21"/>
                <w:vertAlign w:val="subscript"/>
              </w:rPr>
              <w:t>2</w:t>
            </w:r>
            <w:r>
              <w:rPr>
                <w:rFonts w:ascii="Times New Roman" w:hAnsi="Times New Roman" w:eastAsia="Times New Roman" w:cs="Times New Roman"/>
                <w:color w:val="000000"/>
                <w:sz w:val="21"/>
                <w:szCs w:val="21"/>
              </w:rPr>
              <w:t>HPO</w:t>
            </w:r>
            <w:r>
              <w:rPr>
                <w:color w:val="000000"/>
                <w:sz w:val="21"/>
                <w:szCs w:val="21"/>
                <w:vertAlign w:val="subscript"/>
              </w:rPr>
              <w:t>4</w:t>
            </w:r>
            <w:r>
              <w:rPr>
                <w:rFonts w:ascii="Times New Roman" w:hAnsi="Times New Roman" w:eastAsia="Times New Roman" w:cs="Times New Roman"/>
                <w:color w:val="000000"/>
                <w:sz w:val="21"/>
                <w:szCs w:val="21"/>
              </w:rPr>
              <w:t xml:space="preserve"> 5.0</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MgSO</w:t>
            </w:r>
            <w:r>
              <w:rPr>
                <w:color w:val="000000"/>
                <w:sz w:val="21"/>
                <w:szCs w:val="21"/>
                <w:vertAlign w:val="subscript"/>
              </w:rPr>
              <w:t>4</w:t>
            </w:r>
            <w:r>
              <w:rPr>
                <w:rFonts w:ascii="Times New Roman" w:hAnsi="Times New Roman" w:eastAsia="Times New Roman" w:cs="Times New Roman"/>
                <w:color w:val="000000"/>
                <w:sz w:val="21"/>
                <w:szCs w:val="21"/>
              </w:rPr>
              <w:t xml:space="preserve"> 0.5</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NaC1 0.186</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CaCO</w:t>
            </w:r>
            <w:r>
              <w:rPr>
                <w:color w:val="000000"/>
                <w:sz w:val="21"/>
                <w:szCs w:val="21"/>
                <w:vertAlign w:val="subscript"/>
              </w:rPr>
              <w:t>3</w:t>
            </w:r>
            <w:r>
              <w:rPr>
                <w:rFonts w:ascii="Times New Roman" w:hAnsi="Times New Roman" w:eastAsia="Times New Roman" w:cs="Times New Roman"/>
                <w:color w:val="000000"/>
                <w:sz w:val="21"/>
                <w:szCs w:val="21"/>
              </w:rPr>
              <w:t xml:space="preserve"> 1.2</w:t>
            </w:r>
            <w:r>
              <w:rPr>
                <w:rFonts w:ascii="宋体" w:hAnsi="宋体" w:eastAsia="宋体" w:cs="宋体"/>
                <w:color w:val="000000"/>
                <w:sz w:val="21"/>
                <w:szCs w:val="21"/>
              </w:rPr>
              <w:t>，琼脂</w:t>
            </w:r>
            <w:r>
              <w:rPr>
                <w:rFonts w:ascii="Times New Roman" w:hAnsi="Times New Roman" w:eastAsia="Times New Roman" w:cs="Times New Roman"/>
                <w:color w:val="000000"/>
                <w:sz w:val="21"/>
                <w:szCs w:val="21"/>
              </w:rPr>
              <w:t>20.0</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pH</w:t>
            </w:r>
            <w:r>
              <w:rPr>
                <w:rFonts w:ascii="宋体" w:hAnsi="宋体" w:eastAsia="宋体" w:cs="宋体"/>
                <w:color w:val="000000"/>
                <w:sz w:val="21"/>
                <w:szCs w:val="21"/>
              </w:rPr>
              <w:t>值</w:t>
            </w:r>
            <w:r>
              <w:rPr>
                <w:rFonts w:ascii="Times New Roman" w:hAnsi="Times New Roman" w:eastAsia="Times New Roman" w:cs="Times New Roman"/>
                <w:color w:val="000000"/>
                <w:sz w:val="21"/>
                <w:szCs w:val="21"/>
              </w:rPr>
              <w:t>6.8-7.2</w:t>
            </w:r>
            <w:r>
              <w:rPr>
                <w:rFonts w:ascii="宋体" w:hAns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宋体" w:hAnsi="宋体" w:eastAsia="宋体" w:cs="宋体"/>
                <w:color w:val="000000"/>
                <w:sz w:val="21"/>
                <w:szCs w:val="21"/>
              </w:rPr>
              <w:t>阿须贝氏（</w:t>
            </w:r>
            <w:r>
              <w:rPr>
                <w:rFonts w:ascii="Times New Roman" w:hAnsi="Times New Roman" w:eastAsia="Times New Roman" w:cs="Times New Roman"/>
                <w:color w:val="000000"/>
                <w:sz w:val="21"/>
                <w:szCs w:val="21"/>
              </w:rPr>
              <w:t>Ashby</w:t>
            </w:r>
            <w:r>
              <w:rPr>
                <w:rFonts w:ascii="宋体" w:hAnsi="宋体" w:eastAsia="宋体" w:cs="宋体"/>
                <w:color w:val="000000"/>
                <w:sz w:val="21"/>
                <w:szCs w:val="21"/>
              </w:rPr>
              <w:t>）培养基（</w:t>
            </w:r>
            <w:r>
              <w:rPr>
                <w:rFonts w:ascii="Times New Roman" w:hAnsi="Times New Roman" w:eastAsia="Times New Roman" w:cs="Times New Roman"/>
                <w:color w:val="000000"/>
                <w:sz w:val="21"/>
                <w:szCs w:val="21"/>
              </w:rPr>
              <w:t>g/L</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KH</w:t>
            </w:r>
            <w:r>
              <w:rPr>
                <w:color w:val="000000"/>
                <w:sz w:val="21"/>
                <w:szCs w:val="21"/>
                <w:vertAlign w:val="subscript"/>
              </w:rPr>
              <w:t>2</w:t>
            </w:r>
            <w:r>
              <w:rPr>
                <w:rFonts w:ascii="Times New Roman" w:hAnsi="Times New Roman" w:eastAsia="Times New Roman" w:cs="Times New Roman"/>
                <w:color w:val="000000"/>
                <w:sz w:val="21"/>
                <w:szCs w:val="21"/>
              </w:rPr>
              <w:t>PO</w:t>
            </w:r>
            <w:r>
              <w:rPr>
                <w:color w:val="000000"/>
                <w:sz w:val="21"/>
                <w:szCs w:val="21"/>
                <w:vertAlign w:val="subscript"/>
              </w:rPr>
              <w:t>4</w:t>
            </w:r>
            <w:r>
              <w:rPr>
                <w:rFonts w:ascii="Times New Roman" w:hAnsi="Times New Roman" w:eastAsia="Times New Roman" w:cs="Times New Roman"/>
                <w:color w:val="000000"/>
                <w:sz w:val="21"/>
                <w:szCs w:val="21"/>
              </w:rPr>
              <w:t xml:space="preserve"> 0.2</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MgSO</w:t>
            </w:r>
            <w:r>
              <w:rPr>
                <w:color w:val="000000"/>
                <w:sz w:val="21"/>
                <w:szCs w:val="21"/>
                <w:vertAlign w:val="subscript"/>
              </w:rPr>
              <w:t>4</w:t>
            </w:r>
            <w:r>
              <w:rPr>
                <w:rFonts w:ascii="Times New Roman" w:hAnsi="Times New Roman" w:eastAsia="Times New Roman" w:cs="Times New Roman"/>
                <w:color w:val="000000"/>
                <w:sz w:val="21"/>
                <w:szCs w:val="21"/>
              </w:rPr>
              <w:t xml:space="preserve"> 0.2</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NaC1 0.2</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CaCO</w:t>
            </w:r>
            <w:r>
              <w:rPr>
                <w:color w:val="000000"/>
                <w:sz w:val="21"/>
                <w:szCs w:val="21"/>
                <w:vertAlign w:val="subscript"/>
              </w:rPr>
              <w:t>3</w:t>
            </w:r>
            <w:r>
              <w:rPr>
                <w:rFonts w:ascii="Times New Roman" w:hAnsi="Times New Roman" w:eastAsia="Times New Roman" w:cs="Times New Roman"/>
                <w:color w:val="000000"/>
                <w:sz w:val="21"/>
                <w:szCs w:val="21"/>
              </w:rPr>
              <w:t xml:space="preserve"> 5.0</w:t>
            </w:r>
            <w:r>
              <w:rPr>
                <w:rFonts w:ascii="宋体" w:hAnsi="宋体" w:eastAsia="宋体" w:cs="宋体"/>
                <w:color w:val="000000"/>
                <w:sz w:val="21"/>
                <w:szCs w:val="21"/>
              </w:rPr>
              <w:t>，甘露醇</w:t>
            </w:r>
            <w:r>
              <w:rPr>
                <w:rFonts w:ascii="Times New Roman" w:hAnsi="Times New Roman" w:eastAsia="Times New Roman" w:cs="Times New Roman"/>
                <w:color w:val="000000"/>
                <w:sz w:val="21"/>
                <w:szCs w:val="21"/>
              </w:rPr>
              <w:t>10.0</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CaCO</w:t>
            </w:r>
            <w:r>
              <w:rPr>
                <w:color w:val="000000"/>
                <w:sz w:val="21"/>
                <w:szCs w:val="21"/>
                <w:vertAlign w:val="subscript"/>
              </w:rPr>
              <w:t>3</w:t>
            </w:r>
            <w:r>
              <w:rPr>
                <w:rFonts w:ascii="Times New Roman" w:hAnsi="Times New Roman" w:eastAsia="Times New Roman" w:cs="Times New Roman"/>
                <w:color w:val="000000"/>
                <w:sz w:val="21"/>
                <w:szCs w:val="21"/>
              </w:rPr>
              <w:t xml:space="preserve"> 5.0</w:t>
            </w:r>
            <w:r>
              <w:rPr>
                <w:rFonts w:ascii="宋体" w:hAnsi="宋体" w:eastAsia="宋体" w:cs="宋体"/>
                <w:color w:val="000000"/>
                <w:sz w:val="21"/>
                <w:szCs w:val="21"/>
              </w:rPr>
              <w:t>、琼脂</w:t>
            </w:r>
            <w:r>
              <w:rPr>
                <w:rFonts w:ascii="Times New Roman" w:hAnsi="Times New Roman" w:eastAsia="Times New Roman" w:cs="Times New Roman"/>
                <w:color w:val="000000"/>
                <w:sz w:val="21"/>
                <w:szCs w:val="21"/>
              </w:rPr>
              <w:t>18.0</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pH</w:t>
            </w:r>
            <w:r>
              <w:rPr>
                <w:rFonts w:ascii="宋体" w:hAnsi="宋体" w:eastAsia="宋体" w:cs="宋体"/>
                <w:color w:val="000000"/>
                <w:sz w:val="21"/>
                <w:szCs w:val="21"/>
              </w:rPr>
              <w:t>值</w:t>
            </w:r>
            <w:r>
              <w:rPr>
                <w:rFonts w:ascii="Times New Roman" w:hAnsi="Times New Roman" w:eastAsia="Times New Roman" w:cs="Times New Roman"/>
                <w:color w:val="000000"/>
                <w:sz w:val="21"/>
                <w:szCs w:val="21"/>
              </w:rPr>
              <w:t>6.8-7.0</w:t>
            </w:r>
            <w:r>
              <w:rPr>
                <w:rFonts w:ascii="宋体" w:hAnsi="宋体" w:eastAsia="宋体" w:cs="宋体"/>
                <w:color w:val="000000"/>
                <w:sz w:val="21"/>
                <w:szCs w:val="21"/>
              </w:rPr>
              <w:t>。</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（1）</w:t>
      </w:r>
      <w:r>
        <w:rPr>
          <w:rFonts w:ascii="宋体" w:hAnsi="宋体" w:eastAsia="宋体" w:cs="宋体"/>
          <w:color w:val="000000"/>
          <w:sz w:val="21"/>
          <w:szCs w:val="21"/>
        </w:rPr>
        <w:t>豆科植物与根瘤菌的种间关系为</w:t>
      </w:r>
      <w:r>
        <w:rPr>
          <w:color w:val="000000"/>
          <w:sz w:val="21"/>
          <w:szCs w:val="21"/>
        </w:rPr>
        <w:t>____</w:t>
      </w:r>
      <w:r>
        <w:rPr>
          <w:rFonts w:ascii="宋体" w:hAnsi="宋体" w:eastAsia="宋体" w:cs="宋体"/>
          <w:color w:val="000000"/>
          <w:sz w:val="21"/>
          <w:szCs w:val="21"/>
        </w:rPr>
        <w:t>。根中的根瘤菌属于生态系统中的</w:t>
      </w:r>
      <w:r>
        <w:rPr>
          <w:color w:val="000000"/>
          <w:sz w:val="21"/>
          <w:szCs w:val="21"/>
        </w:rPr>
        <w:t>____</w:t>
      </w:r>
      <w:r>
        <w:rPr>
          <w:rFonts w:ascii="宋体" w:hAnsi="宋体" w:eastAsia="宋体" w:cs="宋体"/>
          <w:color w:val="000000"/>
          <w:sz w:val="21"/>
          <w:szCs w:val="21"/>
        </w:rPr>
        <w:t>（成分）。</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（2）</w:t>
      </w:r>
      <w:r>
        <w:rPr>
          <w:rFonts w:ascii="宋体" w:hAnsi="宋体" w:eastAsia="宋体" w:cs="宋体"/>
          <w:color w:val="000000"/>
          <w:sz w:val="21"/>
          <w:szCs w:val="21"/>
        </w:rPr>
        <w:t>过程①首先用</w:t>
      </w:r>
      <w:r>
        <w:rPr>
          <w:color w:val="000000"/>
          <w:sz w:val="21"/>
          <w:szCs w:val="21"/>
        </w:rPr>
        <w:t>____</w:t>
      </w:r>
      <w:r>
        <w:rPr>
          <w:rFonts w:ascii="宋体" w:hAnsi="宋体" w:eastAsia="宋体" w:cs="宋体"/>
          <w:color w:val="000000"/>
          <w:sz w:val="21"/>
          <w:szCs w:val="21"/>
        </w:rPr>
        <w:t>冲洗干净根瘤并浸泡</w:t>
      </w:r>
      <w:r>
        <w:rPr>
          <w:rFonts w:ascii="Times New Roman" w:hAnsi="Times New Roman" w:eastAsia="Times New Roman" w:cs="Times New Roman"/>
          <w:color w:val="000000"/>
          <w:sz w:val="21"/>
          <w:szCs w:val="21"/>
        </w:rPr>
        <w:t>2~3h</w:t>
      </w:r>
      <w:r>
        <w:rPr>
          <w:rFonts w:ascii="宋体" w:hAnsi="宋体" w:eastAsia="宋体" w:cs="宋体"/>
          <w:color w:val="000000"/>
          <w:sz w:val="21"/>
          <w:szCs w:val="21"/>
        </w:rPr>
        <w:t>；</w:t>
      </w:r>
      <w:r>
        <w:rPr>
          <w:color w:val="000000"/>
          <w:sz w:val="21"/>
          <w:szCs w:val="21"/>
        </w:rPr>
        <w:t>____</w:t>
      </w:r>
      <w:r>
        <w:rPr>
          <w:rFonts w:ascii="宋体" w:hAnsi="宋体" w:eastAsia="宋体" w:cs="宋体"/>
          <w:color w:val="000000"/>
          <w:sz w:val="21"/>
          <w:szCs w:val="21"/>
        </w:rPr>
        <w:t>（体积分数）乙醇处理</w:t>
      </w:r>
      <w:r>
        <w:rPr>
          <w:rFonts w:ascii="Times New Roman" w:hAnsi="Times New Roman" w:eastAsia="Times New Roman" w:cs="Times New Roman"/>
          <w:color w:val="000000"/>
          <w:sz w:val="21"/>
          <w:szCs w:val="21"/>
        </w:rPr>
        <w:t>5min</w:t>
      </w:r>
      <w:r>
        <w:rPr>
          <w:rFonts w:ascii="宋体" w:hAnsi="宋体" w:eastAsia="宋体" w:cs="宋体"/>
          <w:color w:val="000000"/>
          <w:sz w:val="21"/>
          <w:szCs w:val="21"/>
        </w:rPr>
        <w:t>，</w:t>
      </w:r>
      <w:r>
        <w:rPr>
          <w:rFonts w:ascii="Times New Roman" w:hAnsi="Times New Roman" w:eastAsia="Times New Roman" w:cs="Times New Roman"/>
          <w:color w:val="000000"/>
          <w:sz w:val="21"/>
          <w:szCs w:val="21"/>
        </w:rPr>
        <w:t>3%</w:t>
      </w:r>
      <w:r>
        <w:rPr>
          <w:rFonts w:ascii="宋体" w:hAnsi="宋体" w:eastAsia="宋体" w:cs="宋体"/>
          <w:color w:val="000000"/>
          <w:sz w:val="21"/>
          <w:szCs w:val="21"/>
        </w:rPr>
        <w:t>的次氯酸钠处理</w:t>
      </w:r>
      <w:r>
        <w:rPr>
          <w:rFonts w:ascii="Times New Roman" w:hAnsi="Times New Roman" w:eastAsia="Times New Roman" w:cs="Times New Roman"/>
          <w:color w:val="000000"/>
          <w:sz w:val="21"/>
          <w:szCs w:val="21"/>
        </w:rPr>
        <w:t>1min</w:t>
      </w:r>
      <w:r>
        <w:rPr>
          <w:rFonts w:ascii="宋体" w:hAnsi="宋体" w:eastAsia="宋体" w:cs="宋体"/>
          <w:color w:val="000000"/>
          <w:sz w:val="21"/>
          <w:szCs w:val="21"/>
        </w:rPr>
        <w:t>，最后再用无菌水冲洗根瘤</w:t>
      </w:r>
      <w:r>
        <w:rPr>
          <w:rFonts w:ascii="Times New Roman" w:hAnsi="Times New Roman" w:eastAsia="Times New Roman" w:cs="Times New Roman"/>
          <w:color w:val="000000"/>
          <w:sz w:val="21"/>
          <w:szCs w:val="21"/>
        </w:rPr>
        <w:t>8</w:t>
      </w:r>
      <w:r>
        <w:rPr>
          <w:rFonts w:ascii="宋体" w:hAnsi="宋体" w:eastAsia="宋体" w:cs="宋体"/>
          <w:color w:val="000000"/>
          <w:sz w:val="21"/>
          <w:szCs w:val="21"/>
        </w:rPr>
        <w:t>次后，晾干表面水分。</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（3）</w:t>
      </w:r>
      <w:r>
        <w:rPr>
          <w:rFonts w:ascii="宋体" w:hAnsi="宋体" w:eastAsia="宋体" w:cs="宋体"/>
          <w:color w:val="000000"/>
          <w:sz w:val="21"/>
          <w:szCs w:val="21"/>
        </w:rPr>
        <w:t>过程④吸取上清液</w:t>
      </w:r>
      <w:r>
        <w:rPr>
          <w:rFonts w:ascii="Times New Roman" w:hAnsi="Times New Roman" w:eastAsia="Times New Roman" w:cs="Times New Roman"/>
          <w:color w:val="000000"/>
          <w:sz w:val="21"/>
          <w:szCs w:val="21"/>
        </w:rPr>
        <w:t>0.1mL</w:t>
      </w:r>
      <w:r>
        <w:rPr>
          <w:rFonts w:ascii="宋体" w:hAnsi="宋体" w:eastAsia="宋体" w:cs="宋体"/>
          <w:color w:val="000000"/>
          <w:sz w:val="21"/>
          <w:szCs w:val="21"/>
        </w:rPr>
        <w:t>涂布于</w:t>
      </w:r>
      <w:r>
        <w:rPr>
          <w:rFonts w:ascii="Times New Roman" w:hAnsi="Times New Roman" w:eastAsia="Times New Roman" w:cs="Times New Roman"/>
          <w:color w:val="000000"/>
          <w:sz w:val="21"/>
          <w:szCs w:val="21"/>
        </w:rPr>
        <w:t>YMA</w:t>
      </w:r>
      <w:r>
        <w:rPr>
          <w:rFonts w:ascii="宋体" w:hAnsi="宋体" w:eastAsia="宋体" w:cs="宋体"/>
          <w:color w:val="000000"/>
          <w:sz w:val="21"/>
          <w:szCs w:val="21"/>
        </w:rPr>
        <w:t>初筛培养基平板上，同时用第</w:t>
      </w:r>
      <w:r>
        <w:rPr>
          <w:rFonts w:ascii="Times New Roman" w:hAnsi="Times New Roman" w:eastAsia="Times New Roman" w:cs="Times New Roman"/>
          <w:color w:val="000000"/>
          <w:sz w:val="21"/>
          <w:szCs w:val="21"/>
        </w:rPr>
        <w:t>8</w:t>
      </w:r>
      <w:r>
        <w:rPr>
          <w:rFonts w:ascii="宋体" w:hAnsi="宋体" w:eastAsia="宋体" w:cs="宋体"/>
          <w:color w:val="000000"/>
          <w:sz w:val="21"/>
          <w:szCs w:val="21"/>
        </w:rPr>
        <w:t>次冲洗苜蓿根瘤后的无菌水设为对照，目的是</w:t>
      </w:r>
      <w:r>
        <w:rPr>
          <w:color w:val="000000"/>
          <w:sz w:val="21"/>
          <w:szCs w:val="21"/>
        </w:rPr>
        <w:t>____</w:t>
      </w:r>
      <w:r>
        <w:rPr>
          <w:rFonts w:ascii="宋体" w:hAnsi="宋体" w:eastAsia="宋体" w:cs="宋体"/>
          <w:color w:val="000000"/>
          <w:sz w:val="21"/>
          <w:szCs w:val="21"/>
        </w:rPr>
        <w:t>。如果培养后平均长出了</w:t>
      </w:r>
      <w:r>
        <w:rPr>
          <w:rFonts w:ascii="Times New Roman" w:hAnsi="Times New Roman" w:eastAsia="Times New Roman" w:cs="Times New Roman"/>
          <w:color w:val="000000"/>
          <w:sz w:val="21"/>
          <w:szCs w:val="21"/>
        </w:rPr>
        <w:t>30</w:t>
      </w:r>
      <w:r>
        <w:rPr>
          <w:rFonts w:ascii="宋体" w:hAnsi="宋体" w:eastAsia="宋体" w:cs="宋体"/>
          <w:color w:val="000000"/>
          <w:sz w:val="21"/>
          <w:szCs w:val="21"/>
        </w:rPr>
        <w:t>个菌落，则该样本中每克根瘤约含根瘤菌</w:t>
      </w:r>
      <w:r>
        <w:rPr>
          <w:color w:val="000000"/>
          <w:sz w:val="21"/>
          <w:szCs w:val="21"/>
        </w:rPr>
        <w:t>____</w:t>
      </w:r>
      <w:r>
        <w:rPr>
          <w:rFonts w:ascii="宋体" w:hAnsi="宋体" w:eastAsia="宋体" w:cs="宋体"/>
          <w:color w:val="000000"/>
          <w:sz w:val="21"/>
          <w:szCs w:val="21"/>
        </w:rPr>
        <w:t>个。</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（4）</w:t>
      </w:r>
      <w:r>
        <w:rPr>
          <w:rFonts w:ascii="宋体" w:hAnsi="宋体" w:eastAsia="宋体" w:cs="宋体"/>
          <w:color w:val="000000"/>
          <w:sz w:val="21"/>
          <w:szCs w:val="21"/>
        </w:rPr>
        <w:t>按功能分</w:t>
      </w:r>
      <w:r>
        <w:rPr>
          <w:rFonts w:ascii="Times New Roman" w:hAnsi="Times New Roman" w:eastAsia="Times New Roman" w:cs="Times New Roman"/>
          <w:color w:val="000000"/>
          <w:sz w:val="21"/>
          <w:szCs w:val="21"/>
        </w:rPr>
        <w:t>Ashby</w:t>
      </w:r>
      <w:r>
        <w:rPr>
          <w:rFonts w:ascii="宋体" w:hAnsi="宋体" w:eastAsia="宋体" w:cs="宋体"/>
          <w:color w:val="000000"/>
          <w:sz w:val="21"/>
          <w:szCs w:val="21"/>
        </w:rPr>
        <w:t>培养基属于</w:t>
      </w:r>
      <w:r>
        <w:rPr>
          <w:color w:val="000000"/>
          <w:sz w:val="21"/>
          <w:szCs w:val="21"/>
        </w:rPr>
        <w:t>____</w:t>
      </w:r>
      <w:r>
        <w:rPr>
          <w:rFonts w:ascii="宋体" w:hAnsi="宋体" w:eastAsia="宋体" w:cs="宋体"/>
          <w:color w:val="000000"/>
          <w:sz w:val="21"/>
          <w:szCs w:val="21"/>
        </w:rPr>
        <w:t>，该培养基中能为复筛的根瘤菌提供</w:t>
      </w:r>
      <w:r>
        <w:rPr>
          <w:color w:val="000000"/>
          <w:sz w:val="21"/>
          <w:szCs w:val="21"/>
        </w:rPr>
        <w:t>____</w:t>
      </w:r>
      <w:r>
        <w:rPr>
          <w:rFonts w:ascii="宋体" w:hAnsi="宋体" w:eastAsia="宋体" w:cs="宋体"/>
          <w:color w:val="000000"/>
          <w:sz w:val="21"/>
          <w:szCs w:val="21"/>
        </w:rPr>
        <w:t>等营养物质。改良的</w:t>
      </w:r>
      <w:r>
        <w:rPr>
          <w:rFonts w:ascii="Times New Roman" w:hAnsi="Times New Roman" w:eastAsia="Times New Roman" w:cs="Times New Roman"/>
          <w:color w:val="000000"/>
          <w:sz w:val="21"/>
          <w:szCs w:val="21"/>
        </w:rPr>
        <w:t>Ashby</w:t>
      </w:r>
      <w:r>
        <w:rPr>
          <w:rFonts w:ascii="宋体" w:hAnsi="宋体" w:eastAsia="宋体" w:cs="宋体"/>
          <w:color w:val="000000"/>
          <w:sz w:val="21"/>
          <w:szCs w:val="21"/>
        </w:rPr>
        <w:t>培养基中</w:t>
      </w:r>
      <w:r>
        <w:rPr>
          <w:rFonts w:ascii="Times New Roman" w:hAnsi="Times New Roman" w:eastAsia="Times New Roman" w:cs="Times New Roman"/>
          <w:color w:val="000000"/>
          <w:sz w:val="21"/>
          <w:szCs w:val="21"/>
        </w:rPr>
        <w:t>NaCl</w:t>
      </w:r>
      <w:r>
        <w:rPr>
          <w:rFonts w:ascii="宋体" w:hAnsi="宋体" w:eastAsia="宋体" w:cs="宋体"/>
          <w:color w:val="000000"/>
          <w:sz w:val="21"/>
          <w:szCs w:val="21"/>
        </w:rPr>
        <w:t>浓度提高到</w:t>
      </w:r>
      <w:r>
        <w:rPr>
          <w:rFonts w:ascii="Times New Roman" w:hAnsi="Times New Roman" w:eastAsia="Times New Roman" w:cs="Times New Roman"/>
          <w:color w:val="000000"/>
          <w:sz w:val="21"/>
          <w:szCs w:val="21"/>
        </w:rPr>
        <w:t>7%</w:t>
      </w:r>
      <w:r>
        <w:rPr>
          <w:rFonts w:ascii="宋体" w:hAnsi="宋体" w:eastAsia="宋体" w:cs="宋体"/>
          <w:color w:val="000000"/>
          <w:sz w:val="21"/>
          <w:szCs w:val="21"/>
        </w:rPr>
        <w:t>的目的是</w:t>
      </w:r>
      <w:r>
        <w:rPr>
          <w:color w:val="000000"/>
          <w:sz w:val="21"/>
          <w:szCs w:val="21"/>
        </w:rPr>
        <w:t>____</w:t>
      </w:r>
      <w:r>
        <w:rPr>
          <w:rFonts w:ascii="宋体" w:hAns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color w:val="000000"/>
          <w:sz w:val="21"/>
          <w:szCs w:val="21"/>
        </w:rPr>
        <w:t>（5）</w:t>
      </w:r>
      <w:r>
        <w:rPr>
          <w:rFonts w:ascii="宋体" w:hAnsi="宋体" w:eastAsia="宋体" w:cs="宋体"/>
          <w:color w:val="000000"/>
          <w:sz w:val="21"/>
          <w:szCs w:val="21"/>
        </w:rPr>
        <w:t>科研人员用筛选得到的</w:t>
      </w:r>
      <w:r>
        <w:rPr>
          <w:rFonts w:ascii="Times New Roman" w:hAnsi="Times New Roman" w:eastAsia="Times New Roman" w:cs="Times New Roman"/>
          <w:color w:val="000000"/>
          <w:sz w:val="21"/>
          <w:szCs w:val="21"/>
        </w:rPr>
        <w:t>5</w:t>
      </w:r>
      <w:r>
        <w:rPr>
          <w:rFonts w:ascii="宋体" w:hAnsi="宋体" w:eastAsia="宋体" w:cs="宋体"/>
          <w:color w:val="000000"/>
          <w:sz w:val="21"/>
          <w:szCs w:val="21"/>
        </w:rPr>
        <w:t>株菌株（编号</w:t>
      </w:r>
      <w:r>
        <w:rPr>
          <w:rFonts w:ascii="Times New Roman" w:hAnsi="Times New Roman" w:eastAsia="Times New Roman" w:cs="Times New Roman"/>
          <w:color w:val="000000"/>
          <w:sz w:val="21"/>
          <w:szCs w:val="21"/>
        </w:rPr>
        <w:t>YL-1~YL-5</w:t>
      </w:r>
      <w:r>
        <w:rPr>
          <w:rFonts w:ascii="宋体" w:hAnsi="宋体" w:eastAsia="宋体" w:cs="宋体"/>
          <w:color w:val="000000"/>
          <w:sz w:val="21"/>
          <w:szCs w:val="21"/>
        </w:rPr>
        <w:t>）的菌液浸泡紫花苜蓿的种子，一段时间后测定了紫花苜蓿的生长情况，结果如下表：</w:t>
      </w:r>
    </w:p>
    <w:tbl>
      <w:tblPr>
        <w:tblStyle w:val="4"/>
        <w:tblW w:w="7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90"/>
        <w:gridCol w:w="990"/>
        <w:gridCol w:w="990"/>
        <w:gridCol w:w="1140"/>
        <w:gridCol w:w="990"/>
        <w:gridCol w:w="99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处理</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株高</w:t>
            </w:r>
            <w:r>
              <w:rPr>
                <w:rFonts w:ascii="Times New Roman" w:hAnsi="Times New Roman" w:eastAsia="Times New Roman" w:cs="Times New Roman"/>
                <w:color w:val="000000"/>
                <w:sz w:val="21"/>
                <w:szCs w:val="21"/>
              </w:rPr>
              <w:t>cm/5</w:t>
            </w:r>
            <w:r>
              <w:rPr>
                <w:rFonts w:ascii="宋体" w:hAnsi="宋体" w:eastAsia="宋体" w:cs="宋体"/>
                <w:color w:val="000000"/>
                <w:sz w:val="21"/>
                <w:szCs w:val="21"/>
              </w:rPr>
              <w:t>棵</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根长</w:t>
            </w:r>
            <w:r>
              <w:rPr>
                <w:rFonts w:ascii="Times New Roman" w:hAnsi="Times New Roman" w:eastAsia="Times New Roman" w:cs="Times New Roman"/>
                <w:color w:val="000000"/>
                <w:sz w:val="21"/>
                <w:szCs w:val="21"/>
              </w:rPr>
              <w:t>cm/5</w:t>
            </w:r>
            <w:r>
              <w:rPr>
                <w:rFonts w:ascii="宋体" w:hAnsi="宋体" w:eastAsia="宋体" w:cs="宋体"/>
                <w:color w:val="000000"/>
                <w:sz w:val="21"/>
                <w:szCs w:val="21"/>
              </w:rPr>
              <w:t>棵</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地上干重</w:t>
            </w:r>
            <w:r>
              <w:rPr>
                <w:rFonts w:ascii="Times New Roman" w:hAnsi="Times New Roman" w:eastAsia="Times New Roman" w:cs="Times New Roman"/>
                <w:color w:val="000000"/>
                <w:sz w:val="21"/>
                <w:szCs w:val="21"/>
              </w:rPr>
              <w:t>g/5</w:t>
            </w:r>
            <w:r>
              <w:rPr>
                <w:rFonts w:ascii="宋体" w:hAnsi="宋体" w:eastAsia="宋体" w:cs="宋体"/>
                <w:color w:val="000000"/>
                <w:sz w:val="21"/>
                <w:szCs w:val="21"/>
              </w:rPr>
              <w:t>棵</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地下干重</w:t>
            </w:r>
            <w:r>
              <w:rPr>
                <w:rFonts w:ascii="Times New Roman" w:hAnsi="Times New Roman" w:eastAsia="Times New Roman" w:cs="Times New Roman"/>
                <w:color w:val="000000"/>
                <w:sz w:val="21"/>
                <w:szCs w:val="21"/>
              </w:rPr>
              <w:t>g/</w:t>
            </w:r>
            <w:r>
              <w:rPr>
                <w:rFonts w:ascii="宋体" w:hAnsi="宋体" w:eastAsia="宋体" w:cs="宋体"/>
                <w:color w:val="000000"/>
                <w:sz w:val="21"/>
                <w:szCs w:val="21"/>
              </w:rPr>
              <w:t>棵</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纤维含量</w:t>
            </w:r>
            <w:r>
              <w:rPr>
                <w:rFonts w:ascii="Times New Roman" w:hAnsi="Times New Roman" w:eastAsia="Times New Roman" w:cs="Times New Roman"/>
                <w:color w:val="000000"/>
                <w:sz w:val="21"/>
                <w:szCs w:val="21"/>
              </w:rPr>
              <w:t>%</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蛋白含量</w:t>
            </w:r>
            <w:r>
              <w:rPr>
                <w:rFonts w:ascii="Times New Roman" w:hAnsi="Times New Roman" w:eastAsia="Times New Roman"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宋体" w:hAnsi="宋体" w:eastAsia="宋体" w:cs="宋体"/>
                <w:color w:val="000000"/>
                <w:sz w:val="21"/>
                <w:szCs w:val="21"/>
              </w:rPr>
              <w:t>对照</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21.50</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15.47</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0.76</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0.29</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49.21</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YL-1</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30.11</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19.35</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1.16</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0.50</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37.12</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YL-2</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29.39</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21.05</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1.09</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0.55</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40.11</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YL-3</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25.24</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18.71</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0.99</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0.38</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43.43</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YL-4</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23</w:t>
            </w:r>
            <w:r>
              <w:rPr>
                <w:rFonts w:ascii="Times New Roman" w:hAnsi="Times New Roman" w:eastAsia="Times New Roman" w:cs="Times New Roman"/>
                <w:color w:val="000000"/>
                <w:position w:val="-22"/>
                <w:sz w:val="21"/>
                <w:szCs w:val="21"/>
              </w:rPr>
              <w:drawing>
                <wp:inline distT="0" distB="0" distL="114300" distR="114300">
                  <wp:extent cx="31750" cy="889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sz w:val="21"/>
                <w:szCs w:val="21"/>
              </w:rPr>
              <w:t>05</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18.27</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0.86</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0.45</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47.62</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YL-5</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23.84</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18.77</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0.91</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0.46</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49.78</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sz w:val="21"/>
                <w:szCs w:val="21"/>
              </w:rPr>
            </w:pPr>
            <w:r>
              <w:rPr>
                <w:rFonts w:ascii="Times New Roman" w:hAnsi="Times New Roman" w:eastAsia="Times New Roman" w:cs="Times New Roman"/>
                <w:color w:val="000000"/>
                <w:sz w:val="21"/>
                <w:szCs w:val="21"/>
              </w:rPr>
              <w:t>5.65</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sz w:val="21"/>
          <w:szCs w:val="21"/>
        </w:rPr>
      </w:pPr>
      <w:r>
        <w:rPr>
          <w:rFonts w:ascii="宋体" w:hAnsi="宋体" w:eastAsia="宋体" w:cs="宋体"/>
          <w:color w:val="000000"/>
          <w:sz w:val="21"/>
          <w:szCs w:val="21"/>
        </w:rPr>
        <w:t>根据实验结果可知，应优先选择</w:t>
      </w:r>
      <w:r>
        <w:rPr>
          <w:color w:val="000000"/>
          <w:sz w:val="21"/>
          <w:szCs w:val="21"/>
        </w:rPr>
        <w:t>____</w:t>
      </w:r>
      <w:r>
        <w:rPr>
          <w:rFonts w:ascii="宋体" w:hAnsi="宋体" w:eastAsia="宋体" w:cs="宋体"/>
          <w:color w:val="000000"/>
          <w:sz w:val="21"/>
          <w:szCs w:val="21"/>
        </w:rPr>
        <w:t>作为优质菌株来开发根瘤菌微生物肥料，选择它的理由是</w:t>
      </w:r>
      <w:r>
        <w:rPr>
          <w:color w:val="000000"/>
          <w:sz w:val="21"/>
          <w:szCs w:val="21"/>
        </w:rPr>
        <w:t>____</w:t>
      </w:r>
      <w:r>
        <w:rPr>
          <w:rFonts w:ascii="宋体" w:hAnsi="宋体" w:eastAsia="宋体" w:cs="宋体"/>
          <w:color w:val="000000"/>
          <w:sz w:val="21"/>
          <w:szCs w:val="21"/>
        </w:rPr>
        <w:t>。</w:t>
      </w:r>
    </w:p>
    <w:sectPr>
      <w:headerReference r:id="rId5" w:type="first"/>
      <w:footerReference r:id="rId8" w:type="first"/>
      <w:headerReference r:id="rId3" w:type="default"/>
      <w:footerReference r:id="rId6" w:type="default"/>
      <w:headerReference r:id="rId4" w:type="even"/>
      <w:footerReference r:id="rId7" w:type="even"/>
      <w:pgSz w:w="11906" w:h="16838"/>
      <w:pgMar w:top="1134" w:right="1134" w:bottom="1134" w:left="1134" w:header="152" w:footer="567"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10</w:t>
                    </w:r>
                    <w:r>
                      <w:fldChar w:fldCharType="end"/>
                    </w:r>
                  </w:p>
                </w:txbxContent>
              </v:textbox>
            </v:shape>
          </w:pict>
        </mc:Fallback>
      </mc:AlternateContent>
    </w: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4098"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4099"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r>
      <w:t xml:space="preserve">   </w:t>
    </w:r>
  </w:p>
  <w:p>
    <w:pPr>
      <w:pBdr>
        <w:bottom w:val="none" w:color="auto" w:sz="0" w:space="1"/>
      </w:pBdr>
      <w:snapToGrid w:val="0"/>
      <w:rPr>
        <w:rFonts w:cs="Times New Roman"/>
        <w:kern w:val="0"/>
        <w:sz w:val="2"/>
        <w:szCs w:val="2"/>
      </w:rPr>
    </w:pPr>
    <w:r>
      <w:pict>
        <v:shape id="图片 4" o:spid="_x0000_s4097"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RiMGM4Y2E3MjdjMjM3YjIwY2FiNDFiOWVjNmQ3ZTcifQ=="/>
    <w:docVar w:name="KSO_WPS_MARK_KEY" w:val="18a4995b-d55d-4842-8649-b0d4e8a991e3"/>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3274"/>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7D01B5E"/>
    <w:rsid w:val="12F452E4"/>
    <w:rsid w:val="18F27B86"/>
    <w:rsid w:val="1D5A03F0"/>
    <w:rsid w:val="259B2F43"/>
    <w:rsid w:val="2E6C3ADF"/>
    <w:rsid w:val="31436D79"/>
    <w:rsid w:val="346A5CF0"/>
    <w:rsid w:val="364315C9"/>
    <w:rsid w:val="38274566"/>
    <w:rsid w:val="42506A10"/>
    <w:rsid w:val="49E14F29"/>
    <w:rsid w:val="4A11580F"/>
    <w:rsid w:val="4EB160D3"/>
    <w:rsid w:val="536F35A6"/>
    <w:rsid w:val="57E80D65"/>
    <w:rsid w:val="6B824916"/>
    <w:rsid w:val="6D6E43A9"/>
    <w:rsid w:val="6E527D91"/>
    <w:rsid w:val="7ACD0A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字符"/>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wmf"/><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1026" textRotate="1"/>
    <customShpInfo spid="_x0000_s4098"/>
    <customShpInfo spid="_x0000_s409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8</Pages>
  <Words>6623</Words>
  <Characters>7664</Characters>
  <Lines>0</Lines>
  <Paragraphs>0</Paragraphs>
  <TotalTime>27</TotalTime>
  <ScaleCrop>false</ScaleCrop>
  <LinksUpToDate>false</LinksUpToDate>
  <CharactersWithSpaces>7867</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2024-01-30T15:20:00Z</dcterms:created>
  <dc:creator>学科网试题生产平台</dc:creator>
  <dc:description>3419331575930880</dc:description>
  <cp:lastModifiedBy>WPS_1506698139</cp:lastModifiedBy>
  <dcterms:modified xsi:type="dcterms:W3CDTF">2024-12-20T07:20:24Z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2052-11.1.0.12165</vt:lpwstr>
  </property>
  <property fmtid="{D5CDD505-2E9C-101B-9397-08002B2CF9AE}" pid="7" name="ICV">
    <vt:lpwstr>4C725BF71F9C4F92B3EC9DD609E3F70B_13</vt:lpwstr>
  </property>
</Properties>
</file>