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rPr>
          <w:rFonts w:hint="eastAsia" w:ascii="黑体" w:hAnsi="黑体" w:eastAsia="黑体" w:cs="黑体"/>
          <w:b/>
          <w:bCs/>
          <w:sz w:val="28"/>
          <w:szCs w:val="28"/>
          <w:lang w:eastAsia="zh-CN"/>
        </w:rPr>
      </w:pPr>
      <w:r>
        <w:rPr>
          <w:rFonts w:hint="eastAsia" w:ascii="黑体" w:hAnsi="宋体" w:eastAsia="黑体"/>
          <w:b/>
          <w:sz w:val="28"/>
          <w:szCs w:val="28"/>
        </w:rPr>
        <w:t>江苏省仪征中学2024-2025学年度第一学期高一政治</w:t>
      </w:r>
      <w:r>
        <w:rPr>
          <w:rFonts w:hint="eastAsia" w:ascii="黑体" w:hAnsi="宋体" w:eastAsia="黑体"/>
          <w:b/>
          <w:sz w:val="28"/>
          <w:szCs w:val="28"/>
          <w:lang w:eastAsia="zh-CN"/>
        </w:rPr>
        <w:t>作业</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r>
        <w:rPr>
          <w:rFonts w:hint="eastAsia" w:ascii="黑体" w:hAnsi="黑体" w:eastAsia="黑体" w:cs="黑体"/>
          <w:b/>
          <w:bCs/>
          <w:sz w:val="28"/>
          <w:szCs w:val="28"/>
        </w:rPr>
        <w:t>第三课  我国的经济发展</w:t>
      </w:r>
    </w:p>
    <w:p>
      <w:pPr>
        <w:keepNext w:val="0"/>
        <w:keepLines w:val="0"/>
        <w:pageBreakBefore w:val="0"/>
        <w:widowControl/>
        <w:kinsoku/>
        <w:wordWrap/>
        <w:overflowPunct/>
        <w:topLinePunct w:val="0"/>
        <w:autoSpaceDE/>
        <w:autoSpaceDN/>
        <w:bidi w:val="0"/>
        <w:adjustRightInd/>
        <w:snapToGrid/>
        <w:spacing w:line="24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3.2推动高质量发展</w:t>
      </w:r>
    </w:p>
    <w:bookmarkEnd w:id="0"/>
    <w:p>
      <w:pPr>
        <w:keepNext w:val="0"/>
        <w:keepLines w:val="0"/>
        <w:pageBreakBefore w:val="0"/>
        <w:widowControl/>
        <w:kinsoku/>
        <w:wordWrap/>
        <w:overflowPunct/>
        <w:topLinePunct w:val="0"/>
        <w:autoSpaceDE/>
        <w:autoSpaceDN/>
        <w:bidi w:val="0"/>
        <w:adjustRightInd/>
        <w:snapToGrid/>
        <w:spacing w:line="240" w:lineRule="auto"/>
        <w:jc w:val="center"/>
        <w:rPr>
          <w:rFonts w:ascii="楷体" w:hAnsi="楷体" w:eastAsia="楷体" w:cs="楷体"/>
          <w:sz w:val="24"/>
        </w:rPr>
      </w:pPr>
      <w:r>
        <w:rPr>
          <w:rFonts w:hint="eastAsia" w:ascii="楷体" w:hAnsi="楷体" w:eastAsia="楷体" w:cs="楷体"/>
          <w:sz w:val="24"/>
        </w:rPr>
        <w:t xml:space="preserve">研制人： 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keepNext w:val="0"/>
        <w:keepLines w:val="0"/>
        <w:pageBreakBefore w:val="0"/>
        <w:widowControl/>
        <w:kinsoku/>
        <w:wordWrap/>
        <w:overflowPunct/>
        <w:topLinePunct w:val="0"/>
        <w:autoSpaceDE/>
        <w:autoSpaceDN/>
        <w:bidi w:val="0"/>
        <w:adjustRightInd/>
        <w:snapToGrid/>
        <w:spacing w:line="24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一、单选题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党的十九大报告明确提出，中国特色社会主义进入新时代，我国社会主要矛盾已经转化为人民日益增长的美好生活需要和不平衡不充分的发展之间的矛盾。下列对这一科学论断理解正确的有（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①这一论断正确把握了我国仍处于并将长期处于社会主义初级阶段的基本国情</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②新时代的社会主要矛盾关键是要解决发展动力问题，不断增强科技创新能力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③我国社会生产力水平总体上显著提高，人民对物质文化生活的需求逐步减少</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④破解经济社会发展不平衡不充分的难题，必须牢固树立并贯彻新发展理念</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①④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2023上半年，福建省重点项目顺利实现时间过半、任务过半的“双过半”目标。269个总投资3236亿元的省重点项目顺利开工建设，一批示范带动性强的重点项目建成投产。为更好推动下阶段发展，应避免下列哪些做法（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①优化产业结构，淘汰传统产能，发展信息产业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②打造一流营商环境，完善工业协调机制</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③强化产业链精准招商，拓展产业发展新增量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④发展高新产业，提高市场准入门槛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推动长三角一体化发展是重大国家战略。长三角地区集聚了全国34%的高新技术企业、47%的科创板上市企业。上海提供芯片、软件等组成汽车“大脑”，江苏提供动力电池，浙江提供一体化压铸机，安徽整车组装……在长三角地区，产业集群加速协同发展，新能源汽车形成了“4小时产业圈”。推动长三角一体化发展的意义在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①发挥各地区位资源互补优势，不断增强发展的整体性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②形成发展合力，推动我国经济转向高质量发展阶段</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③坚持创新驱动这个战略基点，形成国民经济良性循环</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④加强区域产业链上下游合作，加快发展新质生产力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作为党的十八大以来第12个指导“三农”工作的中央一号文件，2024年中央一号文件在确保国家粮食安全上着墨颇多，全文从确保国家粮食安全、确保不发生规模性返贫以及提升乡村产业发展水平、提升乡村建设和治理水平等多方面进行部署，送出惠农“大礼包”。这一举措产生的积极意义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维护我国粮食安全，确保农民增收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支持农业农村优先发展，促进以乡带城</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实施惠农政策，消除城乡发展差异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提高农民积极性，促进农村生产力发展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国家统计局数据显示，2024年1至5月份，我国装备制造业利润同比增长11.5%，增速高于规模以上工业8.1个百分点，拉动规模以上工业利润增长3.6个百分点，是今年以来推动规模以上工业利润增长贡献最大的行业板块。这反映出（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①我国生产资料公有制适合生产力发展要求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②内循环在构建新发展格局中发挥重要作用</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③我国市场经济体制保障了经济的健康发展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④我国推进经济稳定发展的新动能不断增强</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2024苏州全球招商大会以“投资苏州，赢得未来”为主题，吸引了429家世界500强企业云集苏州。新能源、高端装备、新一代信息技术、先进材料、生物医药及大健康等367个项目集中签约，总投资3719.5亿元。材料表明我国（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①优化对外投资的结构，提升利用外资质量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②技术创新能力的增强，提升外商投资信心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③经济加快转型升级，降低外商投资的风险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④推进高水平开放，共享高质量发展新机遇</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2024年4月13日，广东省人民政府印发的《广东省推动大规模设备更新和消费品以旧换新的实施方案》提出，用好省级企业技术改造专项资金等相关领域省级财政资金，加大对企业开展设备更新和升级改造的支持。不考虑其他因素，上述举措产生作用的正确传导路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①降低企业用工成本        ②推进经济高质量发展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③增加货币供应量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④提高企业更新设备的积极性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⑤提高先进产能比重        ⑥优化供给侧结构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①→④→⑤→②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③→④→⑥→②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③→⑤→⑥→②</w:t>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④→⑤→⑥→②</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中共中央政治局召开会议，分析研究当前经济形势，部署下半年经济工作。会议强调，要通过增加居民收入扩大消费，发挥其基础性作用，把实施扩大内需战略同深化供给侧结构性改革有机结合起来；要提振汽车等大宗消费；要更好发挥政府投资带动作用。以下说法正确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①扩大内需能发挥消费对经济的基础性作用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②增加居民收入属于从供给侧发力促进发展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③提振汽车等大宗消费需要营造良好消费环境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④政府投资能降低市场经营风险，提高企业盈利水平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相对于之前极限打卡景点和美食，近年来，不少旅游城市将CityWalk（城市漫步）与古建筑、胡同文化等主题相结合，推出主题式旅游项目，成为年轻人假日休闲、释放减压的最佳出口。主题式旅游项目有助于拉动经济增长，下列传导顺序能正确揭示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①增强消费对经济发展基础性作用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②丰富消费体验，激发消费潜力</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③促进消费需求持续恢复和扩大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④为消费者打造更多的消费场景</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④→①→③→②</w:t>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②→④→③→①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④→②→③→①</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②→③→④→①﻿</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浙江余村正围绕创建全国首个全要素零碳乡村目标，立足当地的资源禀赋，将该村闲置的土地创造性地开发为“农家乐”，走出了“政府主导、市场运营、企业参与、群众受益”的幸福路；利用当地的竹海资源，发展竹制品加工业和竹海旅游等产业，为当地居民提供了就业机会和致富途径。上述举措（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打造城乡发展共同体，乡村振兴得以全面实现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深化农村土地制度改革，盘活了闲置的集体资产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完善农村基本经营制度，发展新型农村集体经济</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多元主体协同参与，推动了农村多产业融合发展</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2024年，第135届广交会“人气爆棚”，粤东粤西粤北将短板变潜力板，针对海外市场的差异化需求，在产品研发上做足了功课，提升产品“含绿量”，打造比较优势产品，展品涵盖五金、餐厨具、家电、玩具等领域，吸引了全球关注。“短板变潜力板”关键在于（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①掌握核心技术，健全现代化经济体系   ②深化政策赋能，夯实产业振兴基础</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③坚持绿色理念，找准定位发展特色    ④对标国际需求，促进产业转型升级</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①②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①④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②③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③④</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走过不平凡的2023年，中国经济在砥砺奋进中迎来2024年新开局。面对更趋复杂严峻的国内外环境。我们要在习近平经济思想的引领下，把握经济工作规律，坚持稳中求进、以进促稳、先立后破，全面推进强国建设、民族复兴伟业。下列措施与上述要求相符的是（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①坚持现代产业体系和实体经济这个战略基点   ②提升乡村产业发展水平和乡村建设、治理水平</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③更好发挥投资的基础性作用和消费的拉动作用  ④建设市场化、法治化、国际化的一流营商环境</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③④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②④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①③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①②</w:t>
      </w:r>
    </w:p>
    <w:tbl>
      <w:tblPr>
        <w:tblStyle w:val="3"/>
        <w:tblpPr w:leftFromText="180" w:rightFromText="180" w:vertAnchor="text" w:horzAnchor="page" w:tblpX="1145" w:tblpY="23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647"/>
        <w:gridCol w:w="647"/>
        <w:gridCol w:w="647"/>
        <w:gridCol w:w="647"/>
        <w:gridCol w:w="647"/>
        <w:gridCol w:w="647"/>
        <w:gridCol w:w="647"/>
        <w:gridCol w:w="647"/>
        <w:gridCol w:w="648"/>
        <w:gridCol w:w="675"/>
        <w:gridCol w:w="67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题号</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2</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3</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4</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5</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6</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7</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8</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9</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10</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11</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宋体" w:hAnsi="宋体" w:cs="宋体"/>
                <w:b/>
                <w:sz w:val="21"/>
                <w:szCs w:val="21"/>
                <w:vertAlign w:val="baseline"/>
                <w:lang w:val="en-US" w:eastAsia="zh-CN"/>
              </w:rPr>
            </w:pPr>
            <w:r>
              <w:rPr>
                <w:rFonts w:hint="eastAsia" w:ascii="宋体" w:hAnsi="宋体" w:cs="宋体"/>
                <w:b/>
                <w:sz w:val="21"/>
                <w:szCs w:val="21"/>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7"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lang w:val="en-US" w:eastAsia="zh-CN"/>
              </w:rPr>
            </w:pPr>
            <w:r>
              <w:rPr>
                <w:rFonts w:hint="eastAsia" w:ascii="宋体" w:hAnsi="宋体" w:cs="宋体"/>
                <w:b/>
                <w:sz w:val="21"/>
                <w:szCs w:val="21"/>
                <w:vertAlign w:val="baseline"/>
                <w:lang w:val="en-US" w:eastAsia="zh-CN"/>
              </w:rPr>
              <w:t>答案</w:t>
            </w: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c>
          <w:tcPr>
            <w:tcW w:w="758" w:type="dxa"/>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sz w:val="21"/>
                <w:szCs w:val="21"/>
                <w:vertAlign w:val="baseline"/>
              </w:rPr>
            </w:pPr>
          </w:p>
        </w:tc>
      </w:tr>
    </w:tbl>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二、材料分析题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楷体" w:hAnsi="楷体" w:eastAsia="楷体" w:cs="楷体"/>
          <w:sz w:val="21"/>
          <w:szCs w:val="21"/>
        </w:rPr>
        <w:t>作为老工业基地，辽宁省近年来向“新”转型步伐加快。</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楷体" w:hAnsi="楷体" w:eastAsia="楷体" w:cs="楷体"/>
          <w:sz w:val="21"/>
          <w:szCs w:val="21"/>
        </w:rPr>
        <w:t>为加快形成新质生产力，辽宁深入实施全面振兴新突破三年行动，锚定打造重大技术创新策源地，以创建具有全国影响力的区域科技创新中心为抓手，坚持科教人才一体推进，努力开辟新领域新赛道；根据本地产业基础，着力做强做大航空装备、船舶与海工装备等12个优势产业集群，培育壮大机器人、新能源汽车等10个战略性新兴产业集群；依托高新区和大学科技园等载体，构建“众创空间+孵化器+加速器+产业园区”的孵化链条，实施科技型企业培育壮大工程。</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结合材料，运用经济与社会相关知识，分析辽宁省是如何助力新质生产力发展的。</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cs="宋体"/>
          <w:sz w:val="21"/>
          <w:szCs w:val="21"/>
          <w:u w:val="dotted"/>
          <w:lang w:val="en-US" w:eastAsia="zh-CN"/>
        </w:rPr>
        <w:t xml:space="preserve">                                                                                             </w:t>
      </w:r>
      <w:r>
        <w:rPr>
          <w:rFonts w:hint="eastAsia" w:ascii="宋体" w:hAnsi="宋体" w:eastAsia="宋体" w:cs="宋体"/>
          <w:sz w:val="21"/>
          <w:szCs w:val="21"/>
          <w:lang w:val="en-US" w:eastAsia="zh-CN"/>
        </w:rPr>
        <w:t>14.</w:t>
      </w:r>
      <w:r>
        <w:rPr>
          <w:rFonts w:hint="eastAsia" w:ascii="楷体" w:hAnsi="楷体" w:eastAsia="楷体" w:cs="楷体"/>
          <w:sz w:val="21"/>
          <w:szCs w:val="21"/>
        </w:rPr>
        <w:t>2023年，湖南实施的“十大技术攻关项目”累计突破关键核心技术147项，取得“首”字号、“最”字号成果17项。湖南工程机械产业规模连续12年居全国第一，轨道交通装备产业集聚度居全球第一，中小航空发动机规模和竞争力居全国第一。省委办公厅、省政府办公厅印发《长株潭一体化发展三年行动计划（2023—2025年）》，抓实长株潭一体化这个龙头，支持洞庭湖、湘南、大湘西三大板块发展。2023年，湖南对共建“一带一路”国家进出口3232.7亿元，对巴西、俄罗斯、沙特阿拉伯等新兴市场贸易不断扩大。2024年，湖南实施“五千工程”，即千万亩农田产能提升工程、千村美丽示范建设工程、千亿优势特色产业升级工程、千万农户增收共富工程、千镇万村治理效能提档工程。</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szCs w:val="21"/>
          <w:lang w:eastAsia="zh-CN"/>
        </w:rPr>
      </w:pPr>
      <w:r>
        <w:rPr>
          <w:rFonts w:hint="eastAsia" w:ascii="宋体" w:hAnsi="宋体" w:eastAsia="宋体" w:cs="宋体"/>
          <w:b/>
          <w:bCs/>
          <w:sz w:val="21"/>
          <w:szCs w:val="21"/>
        </w:rPr>
        <w:t>结合材料，运用《经济与社会》的知识，说明湖南省采取的举措对推动经济高质量发展的积极影响。</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10分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ascii="宋体" w:hAnsi="宋体" w:cs="宋体"/>
          <w:sz w:val="21"/>
          <w:szCs w:val="21"/>
          <w:u w:val="dotted"/>
          <w:lang w:val="en-US" w:eastAsia="zh-CN"/>
        </w:rPr>
        <w:t xml:space="preserve">                                                                                             </w:t>
      </w:r>
      <w:r>
        <w:rPr>
          <w:rFonts w:hint="eastAsia" w:ascii="宋体" w:hAnsi="宋体" w:eastAsia="宋体" w:cs="宋体"/>
          <w:sz w:val="21"/>
          <w:szCs w:val="21"/>
        </w:rPr>
        <w:t>【选做题】</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楷体" w:hAnsi="楷体" w:eastAsia="楷体" w:cs="楷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楷体" w:hAnsi="楷体" w:eastAsia="楷体" w:cs="楷体"/>
          <w:sz w:val="21"/>
          <w:szCs w:val="21"/>
        </w:rPr>
        <w:t>材料一  习近平总书记指出：“必须大力实施扩大内需战略，采取更加有力的措施，使社会再生产实现良性循环。”内需潜力不断释放，对经济增长的贡献越来越大，已经成为中国经济发展的一个鲜明特征。中央经济工作会议强调：“着力扩大国内需求。要激发有潜能的消费，扩大有效益的投资，形成消费和投资相互促进的良性循环。”</w:t>
      </w:r>
    </w:p>
    <w:p>
      <w:pPr>
        <w:keepNext w:val="0"/>
        <w:keepLines w:val="0"/>
        <w:pageBreakBefore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sz w:val="21"/>
          <w:szCs w:val="21"/>
        </w:rPr>
      </w:pPr>
      <w:r>
        <w:rPr>
          <w:rFonts w:hint="eastAsia" w:ascii="楷体" w:hAnsi="楷体" w:eastAsia="楷体" w:cs="楷体"/>
          <w:sz w:val="21"/>
          <w:szCs w:val="21"/>
        </w:rPr>
        <w:t>材料二  城里设备老旧、效率跟不上、耕地用的拖拉机老是出毛病、家里的冰箱、洗衣机用了好多年……近日，国务院印发《推动大规模设备更新和消费品以旧换新行动方案》，推动新一轮大规模设备更新和消费品以旧换新。推动大规模设备更新和消费品以旧换新是加快构建新发展格局、推动高质量发展的重要举措，将有力促进投资和消费，既利当前、更利长远。</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default" w:ascii="宋体" w:hAnsi="宋体" w:eastAsia="宋体" w:cs="宋体"/>
          <w:b/>
          <w:bCs/>
          <w:sz w:val="21"/>
          <w:szCs w:val="21"/>
          <w:lang w:val="en-US" w:eastAsia="zh-CN"/>
        </w:rPr>
      </w:pPr>
      <w:r>
        <w:rPr>
          <w:rFonts w:hint="eastAsia" w:ascii="宋体" w:hAnsi="宋体" w:eastAsia="宋体" w:cs="宋体"/>
          <w:b/>
          <w:bCs/>
          <w:sz w:val="21"/>
          <w:szCs w:val="21"/>
        </w:rPr>
        <w:t>结合材料，运用《经济与社会》相关的知识，分析大规模设备更新和消费品以旧换新行动对推动经济高质量发展的传导路径。</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8分</w:t>
      </w:r>
      <w:r>
        <w:rPr>
          <w:rFonts w:hint="eastAsia" w:ascii="宋体" w:hAnsi="宋体" w:eastAsia="宋体" w:cs="宋体"/>
          <w:b/>
          <w:bCs/>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cs="宋体"/>
          <w:sz w:val="21"/>
          <w:szCs w:val="21"/>
          <w:u w:val="dotted"/>
          <w:lang w:val="en-US" w:eastAsia="zh-CN"/>
        </w:rPr>
      </w:pPr>
      <w:r>
        <w:rPr>
          <w:rFonts w:hint="eastAsia" w:ascii="宋体" w:hAnsi="宋体" w:cs="宋体"/>
          <w:sz w:val="21"/>
          <w:szCs w:val="21"/>
          <w:u w:val="dotted"/>
          <w:lang w:val="en-US" w:eastAsia="zh-CN"/>
        </w:rPr>
        <w:t xml:space="preserve">                                                                                                                                                                                        </w:t>
      </w:r>
    </w:p>
    <w:p>
      <w:r>
        <w:rPr>
          <w:rFonts w:hint="eastAsia" w:ascii="宋体" w:hAnsi="宋体" w:cs="宋体"/>
          <w:sz w:val="21"/>
          <w:szCs w:val="21"/>
          <w:u w:val="dotted"/>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334487F"/>
    <w:rsid w:val="73344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2024-12-12T07:05:00Z</dcterms:created>
  <dc:creator>庆阳</dc:creator>
  <cp:lastModifiedBy>庆阳</cp:lastModifiedBy>
  <dcterms:modified xsi:type="dcterms:W3CDTF">2024-12-12T07:06:16Z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2F889AEC4F24478DAD87A1409DF8A640</vt:lpwstr>
  </property>
</Properties>
</file>