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黑体" w:hAnsi="黑体" w:eastAsia="黑体" w:cs="黑体"/>
          <w:b/>
          <w:bCs/>
          <w:sz w:val="28"/>
          <w:szCs w:val="28"/>
        </w:rPr>
      </w:pPr>
      <w:r>
        <w:rPr>
          <w:rFonts w:hint="eastAsia" w:ascii="黑体" w:hAnsi="宋体" w:eastAsia="黑体"/>
          <w:b/>
          <w:sz w:val="28"/>
          <w:szCs w:val="28"/>
        </w:rPr>
        <w:t>江苏省仪征中学2024-2025学年度第一学期高一政治导学案</w:t>
      </w:r>
    </w:p>
    <w:p>
      <w:pPr>
        <w:widowControl/>
        <w:spacing w:line="360" w:lineRule="auto"/>
        <w:jc w:val="center"/>
        <w:rPr>
          <w:rFonts w:ascii="黑体" w:hAnsi="黑体" w:eastAsia="黑体" w:cs="黑体"/>
          <w:b/>
          <w:bCs/>
          <w:sz w:val="28"/>
          <w:szCs w:val="28"/>
        </w:rPr>
      </w:pPr>
      <w:r>
        <w:rPr>
          <w:rFonts w:hint="eastAsia" w:ascii="黑体" w:hAnsi="黑体" w:eastAsia="黑体" w:cs="黑体"/>
          <w:b/>
          <w:bCs/>
          <w:sz w:val="28"/>
          <w:szCs w:val="28"/>
        </w:rPr>
        <w:t>第四课  我国的个人收入分配与社会保障</w:t>
      </w:r>
    </w:p>
    <w:p>
      <w:pPr>
        <w:widowControl/>
        <w:spacing w:line="360" w:lineRule="auto"/>
        <w:jc w:val="center"/>
        <w:rPr>
          <w:rFonts w:ascii="黑体" w:hAnsi="黑体" w:eastAsia="黑体" w:cs="黑体"/>
          <w:b/>
          <w:bCs/>
          <w:sz w:val="28"/>
          <w:szCs w:val="28"/>
        </w:rPr>
      </w:pPr>
      <w:bookmarkStart w:id="0" w:name="_GoBack"/>
      <w:r>
        <w:rPr>
          <w:rFonts w:hint="eastAsia" w:ascii="黑体" w:hAnsi="黑体" w:eastAsia="黑体" w:cs="黑体"/>
          <w:b/>
          <w:bCs/>
          <w:sz w:val="28"/>
          <w:szCs w:val="28"/>
        </w:rPr>
        <w:t>4.2  我国的社会保障</w:t>
      </w:r>
    </w:p>
    <w:bookmarkEnd w:id="0"/>
    <w:p>
      <w:pPr>
        <w:widowControl/>
        <w:spacing w:line="360" w:lineRule="auto"/>
        <w:jc w:val="center"/>
        <w:rPr>
          <w:rFonts w:ascii="楷体" w:hAnsi="楷体" w:eastAsia="楷体" w:cs="楷体"/>
          <w:sz w:val="24"/>
        </w:rPr>
      </w:pPr>
      <w:r>
        <w:rPr>
          <w:rFonts w:hint="eastAsia" w:ascii="楷体" w:hAnsi="楷体" w:eastAsia="楷体" w:cs="楷体"/>
          <w:sz w:val="24"/>
        </w:rPr>
        <w:t>研制人：  解晓玲</w:t>
      </w:r>
      <w:r>
        <w:rPr>
          <w:rFonts w:ascii="楷体" w:hAnsi="楷体" w:eastAsia="楷体" w:cs="楷体"/>
          <w:sz w:val="24"/>
        </w:rPr>
        <w:t xml:space="preserve">   </w:t>
      </w:r>
      <w:r>
        <w:rPr>
          <w:rFonts w:hint="eastAsia" w:ascii="楷体" w:hAnsi="楷体" w:eastAsia="楷体" w:cs="楷体"/>
          <w:sz w:val="24"/>
        </w:rPr>
        <w:t xml:space="preserve">  审核人：曹淑莹</w:t>
      </w:r>
    </w:p>
    <w:p>
      <w:pPr>
        <w:widowControl/>
        <w:spacing w:line="360" w:lineRule="auto"/>
        <w:ind w:firstLine="1440" w:firstLineChars="600"/>
        <w:rPr>
          <w:rFonts w:ascii="楷体" w:hAnsi="楷体" w:eastAsia="楷体" w:cs="楷体"/>
          <w:sz w:val="24"/>
          <w:u w:val="single"/>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授课时间：</w:t>
      </w:r>
      <w:r>
        <w:rPr>
          <w:rFonts w:hint="eastAsia" w:ascii="楷体" w:hAnsi="楷体" w:eastAsia="楷体" w:cs="楷体"/>
          <w:sz w:val="24"/>
          <w:u w:val="single"/>
        </w:rPr>
        <w:t xml:space="preserve">         </w:t>
      </w:r>
    </w:p>
    <w:p>
      <w:pPr>
        <w:rPr>
          <w:b/>
          <w:bCs/>
        </w:rPr>
      </w:pPr>
      <w:r>
        <w:rPr>
          <w:rFonts w:hint="eastAsia"/>
          <w:b/>
          <w:bCs/>
        </w:rPr>
        <w:t>【课标要求】</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63"/>
        <w:gridCol w:w="6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3" w:type="dxa"/>
            <w:shd w:val="clear" w:color="auto" w:fill="auto"/>
          </w:tcPr>
          <w:p>
            <w:pPr>
              <w:widowControl/>
              <w:rPr>
                <w:rFonts w:ascii="宋体" w:hAnsi="宋体" w:cs="宋体"/>
                <w:b/>
                <w:bCs/>
                <w:szCs w:val="21"/>
              </w:rPr>
            </w:pPr>
            <w:r>
              <w:rPr>
                <w:rFonts w:hint="eastAsia" w:ascii="宋体" w:hAnsi="宋体" w:cs="宋体"/>
                <w:b/>
                <w:bCs/>
                <w:szCs w:val="21"/>
              </w:rPr>
              <w:t>内容要求</w:t>
            </w:r>
          </w:p>
        </w:tc>
        <w:tc>
          <w:tcPr>
            <w:tcW w:w="6535" w:type="dxa"/>
            <w:shd w:val="clear" w:color="auto" w:fill="auto"/>
          </w:tcPr>
          <w:p>
            <w:pPr>
              <w:widowControl/>
              <w:rPr>
                <w:rFonts w:ascii="宋体" w:hAnsi="宋体" w:cs="宋体"/>
                <w:b/>
                <w:bCs/>
                <w:szCs w:val="21"/>
              </w:rPr>
            </w:pPr>
            <w:r>
              <w:rPr>
                <w:rFonts w:hint="eastAsia" w:ascii="宋体" w:hAnsi="宋体" w:cs="宋体"/>
                <w:b/>
                <w:bCs/>
                <w:szCs w:val="21"/>
              </w:rPr>
              <w:t>教学提示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263" w:type="dxa"/>
            <w:shd w:val="clear" w:color="auto" w:fill="auto"/>
          </w:tcPr>
          <w:p>
            <w:pPr>
              <w:widowControl/>
              <w:ind w:firstLine="420" w:firstLineChars="200"/>
              <w:rPr>
                <w:rFonts w:ascii="宋体" w:hAnsi="宋体"/>
                <w:color w:val="000000"/>
              </w:rPr>
            </w:pPr>
            <w:r>
              <w:rPr>
                <w:rFonts w:hint="eastAsia" w:ascii="宋体" w:hAnsi="宋体"/>
                <w:color w:val="000000"/>
              </w:rPr>
              <w:t>评析实现共同富裕、促进社会公平正义的收入分配与社会保障政策，列举完善社会保障体系的措施。</w:t>
            </w:r>
          </w:p>
        </w:tc>
        <w:tc>
          <w:tcPr>
            <w:tcW w:w="6535" w:type="dxa"/>
            <w:shd w:val="clear" w:color="auto" w:fill="auto"/>
          </w:tcPr>
          <w:p>
            <w:pPr>
              <w:widowControl/>
              <w:ind w:firstLine="420" w:firstLineChars="200"/>
              <w:rPr>
                <w:rFonts w:ascii="宋体" w:hAnsi="宋体"/>
                <w:color w:val="000000"/>
              </w:rPr>
            </w:pPr>
            <w:r>
              <w:rPr>
                <w:rFonts w:hint="eastAsia" w:ascii="宋体" w:hAnsi="宋体"/>
                <w:color w:val="000000"/>
              </w:rPr>
              <w:t>探究完善社会保障体系的举措。搜集资料，了解我国当前完善社会保障的新举措，并进行评析。对当地经济发展与社会保障水平之间的关系进行调研，剖析存在的问题及其原因，提出对策建议。</w:t>
            </w:r>
          </w:p>
        </w:tc>
      </w:tr>
    </w:tbl>
    <w:p>
      <w:pPr>
        <w:rPr>
          <w:rFonts w:ascii="宋体" w:hAnsi="宋体" w:cs="宋体"/>
          <w:b/>
          <w:szCs w:val="21"/>
        </w:rPr>
      </w:pPr>
      <w:r>
        <w:rPr>
          <w:rFonts w:hint="eastAsia" w:ascii="宋体" w:hAnsi="宋体" w:cs="宋体"/>
          <w:b/>
          <w:szCs w:val="21"/>
        </w:rPr>
        <w:t>【导学】</w:t>
      </w:r>
    </w:p>
    <w:p>
      <w:pPr>
        <w:numPr>
          <w:ilvl w:val="0"/>
          <w:numId w:val="0"/>
        </w:numPr>
        <w:rPr>
          <w:b/>
        </w:rPr>
      </w:pPr>
      <w:r>
        <w:rPr>
          <w:rFonts w:hint="eastAsia"/>
          <w:b/>
          <w:lang w:val="en-US" w:eastAsia="zh-CN"/>
        </w:rPr>
        <w:t>一、</w:t>
      </w:r>
      <w:r>
        <w:rPr>
          <w:rFonts w:hint="eastAsia"/>
          <w:b/>
        </w:rPr>
        <w:t>学科素养目标</w:t>
      </w:r>
    </w:p>
    <w:p>
      <w:pPr>
        <w:pStyle w:val="5"/>
        <w:shd w:val="clear" w:color="auto" w:fill="FFFFFF"/>
        <w:spacing w:before="0" w:beforeAutospacing="0" w:after="0" w:afterAutospacing="0"/>
        <w:jc w:val="both"/>
        <w:rPr>
          <w:color w:val="333333"/>
          <w:sz w:val="21"/>
          <w:szCs w:val="21"/>
          <w:shd w:val="clear" w:color="auto" w:fill="FFFFFF"/>
        </w:rPr>
      </w:pPr>
      <w:r>
        <w:rPr>
          <w:rFonts w:hint="eastAsia"/>
          <w:color w:val="333333"/>
          <w:sz w:val="21"/>
          <w:szCs w:val="21"/>
          <w:shd w:val="clear" w:color="auto" w:fill="FFFFFF"/>
        </w:rPr>
        <w:t>1.政治认同：结合生活实际和具体案例，能区分几种基本形式，增强对国家的政治认同。</w:t>
      </w:r>
    </w:p>
    <w:p>
      <w:pPr>
        <w:pStyle w:val="5"/>
        <w:shd w:val="clear" w:color="auto" w:fill="FFFFFF"/>
        <w:spacing w:before="0" w:beforeAutospacing="0" w:after="0" w:afterAutospacing="0"/>
        <w:jc w:val="both"/>
        <w:rPr>
          <w:color w:val="333333"/>
          <w:sz w:val="21"/>
          <w:szCs w:val="21"/>
          <w:shd w:val="clear" w:color="auto" w:fill="FFFFFF"/>
        </w:rPr>
      </w:pPr>
      <w:r>
        <w:rPr>
          <w:rFonts w:hint="eastAsia"/>
          <w:color w:val="333333"/>
          <w:sz w:val="21"/>
          <w:szCs w:val="21"/>
          <w:shd w:val="clear" w:color="auto" w:fill="FFFFFF"/>
        </w:rPr>
        <w:t>2.科学精神：能结合不同情况，分辨社会保障的基本形式及每一种基本形式的地位特点、资金来源、保障对象、保障方式、构成。</w:t>
      </w:r>
    </w:p>
    <w:p>
      <w:pPr>
        <w:pStyle w:val="5"/>
        <w:shd w:val="clear" w:color="auto" w:fill="FFFFFF"/>
        <w:spacing w:before="0" w:beforeAutospacing="0" w:after="0" w:afterAutospacing="0"/>
        <w:jc w:val="both"/>
        <w:rPr>
          <w:color w:val="333333"/>
          <w:sz w:val="21"/>
          <w:szCs w:val="21"/>
          <w:shd w:val="clear" w:color="auto" w:fill="FFFFFF"/>
        </w:rPr>
      </w:pPr>
      <w:r>
        <w:rPr>
          <w:rFonts w:hint="eastAsia"/>
          <w:color w:val="333333"/>
          <w:sz w:val="21"/>
          <w:szCs w:val="21"/>
          <w:shd w:val="clear" w:color="auto" w:fill="FFFFFF"/>
        </w:rPr>
        <w:t>3.法治意识：积极参与社会调查和实践，并积极参与社会救助。</w:t>
      </w:r>
    </w:p>
    <w:p>
      <w:pPr>
        <w:pStyle w:val="5"/>
        <w:shd w:val="clear" w:color="auto" w:fill="FFFFFF"/>
        <w:spacing w:before="0" w:beforeAutospacing="0" w:after="0" w:afterAutospacing="0"/>
        <w:jc w:val="both"/>
        <w:rPr>
          <w:b/>
          <w:bCs/>
        </w:rPr>
      </w:pPr>
      <w:r>
        <w:rPr>
          <w:rFonts w:hint="eastAsia"/>
          <w:b/>
          <w:bCs/>
        </w:rPr>
        <w:t>二、基础知识</w:t>
      </w:r>
    </w:p>
    <w:p>
      <w:pPr>
        <w:rPr>
          <w:rFonts w:ascii="宋体" w:hAnsi="宋体"/>
        </w:rPr>
      </w:pPr>
      <w:r>
        <w:rPr>
          <w:rFonts w:ascii="宋体" w:hAnsi="宋体"/>
        </w:rPr>
        <w:t>1.</w:t>
      </w:r>
      <w:r>
        <w:rPr>
          <w:rFonts w:hint="eastAsia" w:ascii="宋体" w:hAnsi="宋体"/>
        </w:rPr>
        <w:t xml:space="preserve">我国的社会保障的四种形式是什么？各自的地位、主体、对象、内容分别是什么？ </w:t>
      </w:r>
      <w:r>
        <w:rPr>
          <w:rFonts w:ascii="宋体" w:hAnsi="宋体"/>
        </w:rPr>
        <w:t xml:space="preserve"> P50-52</w:t>
      </w:r>
    </w:p>
    <w:p>
      <w:pPr>
        <w:rPr>
          <w:rFonts w:ascii="宋体" w:hAnsi="宋体"/>
        </w:rPr>
      </w:pPr>
      <w:r>
        <w:rPr>
          <w:rFonts w:ascii="宋体" w:hAnsi="宋体"/>
        </w:rPr>
        <w:t>2.</w:t>
      </w:r>
      <w:r>
        <w:rPr>
          <w:rFonts w:hint="eastAsia" w:ascii="宋体" w:hAnsi="宋体"/>
        </w:rPr>
        <w:t xml:space="preserve">为什么要建立社会保障体系（必要性、重要性） </w:t>
      </w:r>
      <w:r>
        <w:rPr>
          <w:rFonts w:ascii="宋体" w:hAnsi="宋体"/>
        </w:rPr>
        <w:t xml:space="preserve"> P50</w:t>
      </w:r>
    </w:p>
    <w:p>
      <w:pPr>
        <w:rPr>
          <w:rFonts w:ascii="宋体" w:hAnsi="宋体"/>
        </w:rPr>
      </w:pPr>
      <w:r>
        <w:rPr>
          <w:rFonts w:hint="eastAsia" w:ascii="宋体" w:hAnsi="宋体"/>
        </w:rPr>
        <w:t>3</w:t>
      </w:r>
      <w:r>
        <w:rPr>
          <w:rFonts w:ascii="宋体" w:hAnsi="宋体"/>
        </w:rPr>
        <w:t>.</w:t>
      </w:r>
      <w:r>
        <w:rPr>
          <w:rFonts w:hint="eastAsia" w:ascii="宋体" w:hAnsi="宋体"/>
        </w:rPr>
        <w:t xml:space="preserve">国家怎样织密社会保障安全网 </w:t>
      </w:r>
      <w:r>
        <w:rPr>
          <w:rFonts w:ascii="宋体" w:hAnsi="宋体"/>
        </w:rPr>
        <w:t xml:space="preserve"> P53-55</w:t>
      </w:r>
    </w:p>
    <w:p>
      <w:pPr>
        <w:rPr>
          <w:b/>
          <w:bCs/>
        </w:rPr>
      </w:pPr>
      <w:r>
        <w:rPr>
          <w:rFonts w:hint="eastAsia"/>
          <w:b/>
          <w:bCs/>
        </w:rPr>
        <w:t>三、重点难点</w:t>
      </w:r>
    </w:p>
    <w:p>
      <w:pPr>
        <w:jc w:val="left"/>
        <w:rPr>
          <w:rFonts w:ascii="宋体" w:hAnsi="宋体" w:cs="宋体"/>
          <w:b/>
          <w:bCs/>
          <w:color w:val="000000"/>
          <w:kern w:val="0"/>
          <w:szCs w:val="21"/>
          <w:lang w:bidi="ar"/>
        </w:rPr>
      </w:pPr>
      <w:r>
        <w:rPr>
          <w:rFonts w:hint="eastAsia" w:ascii="宋体" w:hAnsi="宋体" w:cs="宋体"/>
          <w:b/>
          <w:bCs/>
          <w:color w:val="000000"/>
          <w:kern w:val="0"/>
          <w:szCs w:val="21"/>
          <w:lang w:bidi="ar"/>
        </w:rPr>
        <w:t>1.社会保障的基本形式的区分</w:t>
      </w:r>
    </w:p>
    <w:tbl>
      <w:tblPr>
        <w:tblStyle w:val="6"/>
        <w:tblW w:w="10031" w:type="dxa"/>
        <w:tblInd w:w="-3" w:type="dxa"/>
        <w:shd w:val="clear" w:color="auto" w:fill="FFFFFF"/>
        <w:tblLayout w:type="autofit"/>
        <w:tblCellMar>
          <w:top w:w="0" w:type="dxa"/>
          <w:left w:w="0" w:type="dxa"/>
          <w:bottom w:w="0" w:type="dxa"/>
          <w:right w:w="0" w:type="dxa"/>
        </w:tblCellMar>
      </w:tblPr>
      <w:tblGrid>
        <w:gridCol w:w="1098"/>
        <w:gridCol w:w="2268"/>
        <w:gridCol w:w="2268"/>
        <w:gridCol w:w="2126"/>
        <w:gridCol w:w="2271"/>
      </w:tblGrid>
      <w:tr>
        <w:tblPrEx>
          <w:shd w:val="clear" w:color="auto" w:fill="FFFFFF"/>
          <w:tblCellMar>
            <w:top w:w="0" w:type="dxa"/>
            <w:left w:w="0" w:type="dxa"/>
            <w:bottom w:w="0" w:type="dxa"/>
            <w:right w:w="0" w:type="dxa"/>
          </w:tblCellMar>
        </w:tblPrEx>
        <w:trPr>
          <w:trHeight w:val="353" w:hRule="atLeast"/>
        </w:trPr>
        <w:tc>
          <w:tcPr>
            <w:tcW w:w="1098" w:type="dxa"/>
            <w:tcBorders>
              <w:top w:val="single" w:color="auto" w:sz="6" w:space="0"/>
              <w:left w:val="single" w:color="auto" w:sz="6" w:space="0"/>
              <w:bottom w:val="single" w:color="auto" w:sz="6" w:space="0"/>
              <w:right w:val="single" w:color="auto" w:sz="4" w:space="0"/>
            </w:tcBorders>
            <w:shd w:val="clear" w:color="auto" w:fill="FFFFFF"/>
            <w:tcMar>
              <w:left w:w="105" w:type="dxa"/>
              <w:right w:w="105" w:type="dxa"/>
            </w:tcMar>
            <w:vAlign w:val="center"/>
          </w:tcPr>
          <w:p>
            <w:pPr>
              <w:pStyle w:val="5"/>
              <w:spacing w:before="0" w:beforeAutospacing="0" w:after="0" w:afterAutospacing="0"/>
              <w:jc w:val="center"/>
              <w:rPr>
                <w:rFonts w:ascii="仿宋" w:hAnsi="仿宋" w:eastAsia="仿宋" w:cs="Times New Roman"/>
                <w:b/>
                <w:kern w:val="2"/>
                <w:sz w:val="21"/>
                <w:szCs w:val="21"/>
              </w:rPr>
            </w:pPr>
            <w:r>
              <w:rPr>
                <w:rFonts w:hint="eastAsia" w:ascii="仿宋" w:hAnsi="仿宋" w:eastAsia="仿宋" w:cs="Times New Roman"/>
                <w:b/>
                <w:kern w:val="2"/>
                <w:sz w:val="21"/>
                <w:szCs w:val="21"/>
              </w:rPr>
              <w:t>类型</w:t>
            </w:r>
          </w:p>
        </w:tc>
        <w:tc>
          <w:tcPr>
            <w:tcW w:w="22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5"/>
              <w:spacing w:before="0" w:beforeAutospacing="0" w:after="0" w:afterAutospacing="0"/>
              <w:jc w:val="center"/>
              <w:rPr>
                <w:rFonts w:ascii="仿宋" w:hAnsi="仿宋" w:eastAsia="仿宋" w:cs="Times New Roman"/>
                <w:b/>
                <w:kern w:val="2"/>
                <w:sz w:val="21"/>
                <w:szCs w:val="21"/>
              </w:rPr>
            </w:pPr>
            <w:r>
              <w:rPr>
                <w:rFonts w:hint="eastAsia" w:ascii="仿宋" w:hAnsi="仿宋" w:eastAsia="仿宋" w:cs="Times New Roman"/>
                <w:b/>
                <w:kern w:val="2"/>
                <w:sz w:val="21"/>
                <w:szCs w:val="21"/>
              </w:rPr>
              <w:t>地位</w:t>
            </w:r>
          </w:p>
        </w:tc>
        <w:tc>
          <w:tcPr>
            <w:tcW w:w="2268"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5"/>
              <w:spacing w:before="0" w:beforeAutospacing="0" w:after="0" w:afterAutospacing="0"/>
              <w:jc w:val="center"/>
              <w:rPr>
                <w:rFonts w:ascii="仿宋" w:hAnsi="仿宋" w:eastAsia="仿宋" w:cs="Times New Roman"/>
                <w:b/>
                <w:kern w:val="2"/>
                <w:sz w:val="21"/>
                <w:szCs w:val="21"/>
              </w:rPr>
            </w:pPr>
            <w:r>
              <w:rPr>
                <w:rFonts w:hint="eastAsia" w:ascii="仿宋" w:hAnsi="仿宋" w:eastAsia="仿宋" w:cs="Times New Roman"/>
                <w:b/>
                <w:kern w:val="2"/>
                <w:sz w:val="21"/>
                <w:szCs w:val="21"/>
              </w:rPr>
              <w:t>对象</w:t>
            </w:r>
          </w:p>
        </w:tc>
        <w:tc>
          <w:tcPr>
            <w:tcW w:w="2126" w:type="dxa"/>
            <w:tcBorders>
              <w:top w:val="single" w:color="auto" w:sz="6" w:space="0"/>
              <w:left w:val="single" w:color="auto" w:sz="4" w:space="0"/>
              <w:bottom w:val="single" w:color="auto" w:sz="6" w:space="0"/>
              <w:right w:val="single" w:color="auto" w:sz="6" w:space="0"/>
            </w:tcBorders>
            <w:shd w:val="clear" w:color="auto" w:fill="FFFFFF"/>
            <w:tcMar>
              <w:left w:w="105" w:type="dxa"/>
              <w:right w:w="105" w:type="dxa"/>
            </w:tcMar>
            <w:vAlign w:val="center"/>
          </w:tcPr>
          <w:p>
            <w:pPr>
              <w:pStyle w:val="5"/>
              <w:spacing w:before="0" w:beforeAutospacing="0" w:after="0" w:afterAutospacing="0"/>
              <w:jc w:val="center"/>
              <w:rPr>
                <w:rFonts w:ascii="仿宋" w:hAnsi="仿宋" w:eastAsia="仿宋" w:cs="Times New Roman"/>
                <w:b/>
                <w:kern w:val="2"/>
                <w:sz w:val="21"/>
                <w:szCs w:val="21"/>
              </w:rPr>
            </w:pPr>
            <w:r>
              <w:rPr>
                <w:rFonts w:hint="eastAsia" w:ascii="仿宋" w:hAnsi="仿宋" w:eastAsia="仿宋" w:cs="Times New Roman"/>
                <w:b/>
                <w:kern w:val="2"/>
                <w:sz w:val="21"/>
                <w:szCs w:val="21"/>
              </w:rPr>
              <w:t>内容</w:t>
            </w:r>
          </w:p>
        </w:tc>
        <w:tc>
          <w:tcPr>
            <w:tcW w:w="2271"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5"/>
              <w:spacing w:before="0" w:beforeAutospacing="0" w:after="0" w:afterAutospacing="0"/>
              <w:jc w:val="center"/>
              <w:rPr>
                <w:rFonts w:ascii="仿宋" w:hAnsi="仿宋" w:eastAsia="仿宋" w:cs="Times New Roman"/>
                <w:b/>
                <w:kern w:val="2"/>
                <w:sz w:val="21"/>
                <w:szCs w:val="21"/>
              </w:rPr>
            </w:pPr>
            <w:r>
              <w:rPr>
                <w:rFonts w:hint="eastAsia" w:ascii="仿宋" w:hAnsi="仿宋" w:eastAsia="仿宋" w:cs="Times New Roman"/>
                <w:b/>
                <w:kern w:val="2"/>
                <w:sz w:val="21"/>
                <w:szCs w:val="21"/>
              </w:rPr>
              <w:t>主体</w:t>
            </w:r>
          </w:p>
        </w:tc>
      </w:tr>
      <w:tr>
        <w:tblPrEx>
          <w:shd w:val="clear" w:color="auto" w:fill="FFFFFF"/>
          <w:tblCellMar>
            <w:top w:w="0" w:type="dxa"/>
            <w:left w:w="0" w:type="dxa"/>
            <w:bottom w:w="0" w:type="dxa"/>
            <w:right w:w="0" w:type="dxa"/>
          </w:tblCellMar>
        </w:tblPrEx>
        <w:tc>
          <w:tcPr>
            <w:tcW w:w="1098" w:type="dxa"/>
            <w:tcBorders>
              <w:top w:val="nil"/>
              <w:left w:val="single" w:color="auto" w:sz="6" w:space="0"/>
              <w:bottom w:val="single" w:color="auto" w:sz="6" w:space="0"/>
              <w:right w:val="single" w:color="auto" w:sz="4" w:space="0"/>
            </w:tcBorders>
            <w:shd w:val="clear" w:color="auto" w:fill="FFFFFF"/>
            <w:tcMar>
              <w:left w:w="105" w:type="dxa"/>
              <w:right w:w="105" w:type="dxa"/>
            </w:tcMar>
            <w:vAlign w:val="center"/>
          </w:tcPr>
          <w:p>
            <w:pPr>
              <w:pStyle w:val="5"/>
              <w:spacing w:before="0" w:beforeAutospacing="0" w:after="0" w:afterAutospacing="0"/>
              <w:jc w:val="center"/>
              <w:rPr>
                <w:rFonts w:ascii="仿宋" w:hAnsi="仿宋" w:eastAsia="仿宋" w:cs="Times New Roman"/>
                <w:b/>
                <w:kern w:val="2"/>
                <w:sz w:val="21"/>
                <w:szCs w:val="21"/>
              </w:rPr>
            </w:pPr>
            <w:r>
              <w:rPr>
                <w:rFonts w:hint="eastAsia" w:ascii="仿宋" w:hAnsi="仿宋" w:eastAsia="仿宋" w:cs="Times New Roman"/>
                <w:b/>
                <w:kern w:val="2"/>
                <w:sz w:val="21"/>
                <w:szCs w:val="21"/>
              </w:rPr>
              <w:t>社会保险</w:t>
            </w:r>
          </w:p>
        </w:tc>
        <w:tc>
          <w:tcPr>
            <w:tcW w:w="22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5"/>
              <w:spacing w:before="0" w:beforeAutospacing="0" w:after="0" w:afterAutospacing="0"/>
              <w:jc w:val="both"/>
              <w:rPr>
                <w:color w:val="111111"/>
                <w:sz w:val="21"/>
                <w:szCs w:val="21"/>
              </w:rPr>
            </w:pPr>
            <w:r>
              <w:rPr>
                <w:rFonts w:hint="eastAsia"/>
                <w:color w:val="111111"/>
                <w:sz w:val="21"/>
                <w:szCs w:val="21"/>
              </w:rPr>
              <w:t>社会保障体系的</w:t>
            </w:r>
            <w:r>
              <w:rPr>
                <w:rFonts w:hint="eastAsia" w:ascii="楷体" w:hAnsi="楷体" w:eastAsia="楷体" w:cs="Times New Roman"/>
                <w:b/>
                <w:kern w:val="2"/>
                <w:sz w:val="21"/>
                <w:szCs w:val="21"/>
                <w:u w:val="single"/>
              </w:rPr>
              <w:t>核心</w:t>
            </w:r>
            <w:r>
              <w:rPr>
                <w:rFonts w:hint="eastAsia"/>
                <w:color w:val="111111"/>
                <w:sz w:val="21"/>
                <w:szCs w:val="21"/>
              </w:rPr>
              <w:t>（最普遍的社会保障形式）</w:t>
            </w:r>
          </w:p>
        </w:tc>
        <w:tc>
          <w:tcPr>
            <w:tcW w:w="2268"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5"/>
              <w:spacing w:before="0" w:beforeAutospacing="0" w:after="0" w:afterAutospacing="0"/>
              <w:jc w:val="both"/>
              <w:rPr>
                <w:color w:val="111111"/>
                <w:sz w:val="21"/>
                <w:szCs w:val="21"/>
              </w:rPr>
            </w:pPr>
            <w:r>
              <w:rPr>
                <w:rFonts w:hint="eastAsia" w:ascii="楷体" w:hAnsi="楷体" w:eastAsia="楷体" w:cs="Times New Roman"/>
                <w:b/>
                <w:kern w:val="2"/>
                <w:sz w:val="21"/>
                <w:szCs w:val="21"/>
                <w:u w:val="single"/>
              </w:rPr>
              <w:t>公民</w:t>
            </w:r>
          </w:p>
        </w:tc>
        <w:tc>
          <w:tcPr>
            <w:tcW w:w="2126" w:type="dxa"/>
            <w:tcBorders>
              <w:top w:val="nil"/>
              <w:left w:val="single" w:color="auto" w:sz="4" w:space="0"/>
              <w:bottom w:val="single" w:color="auto" w:sz="6" w:space="0"/>
              <w:right w:val="single" w:color="auto" w:sz="6" w:space="0"/>
            </w:tcBorders>
            <w:shd w:val="clear" w:color="auto" w:fill="FFFFFF"/>
            <w:tcMar>
              <w:left w:w="105" w:type="dxa"/>
              <w:right w:w="105" w:type="dxa"/>
            </w:tcMar>
            <w:vAlign w:val="center"/>
          </w:tcPr>
          <w:p>
            <w:pPr>
              <w:pStyle w:val="5"/>
              <w:spacing w:before="0" w:beforeAutospacing="0" w:after="0" w:afterAutospacing="0"/>
              <w:jc w:val="both"/>
              <w:rPr>
                <w:color w:val="111111"/>
                <w:sz w:val="21"/>
                <w:szCs w:val="21"/>
              </w:rPr>
            </w:pPr>
            <w:r>
              <w:rPr>
                <w:rFonts w:hint="eastAsia" w:ascii="楷体" w:hAnsi="楷体" w:eastAsia="楷体" w:cs="Times New Roman"/>
                <w:b/>
                <w:kern w:val="2"/>
                <w:sz w:val="21"/>
                <w:szCs w:val="21"/>
                <w:u w:val="single"/>
              </w:rPr>
              <w:t>养老</w:t>
            </w:r>
            <w:r>
              <w:rPr>
                <w:rFonts w:hint="eastAsia"/>
                <w:color w:val="111111"/>
                <w:sz w:val="21"/>
                <w:szCs w:val="21"/>
              </w:rPr>
              <w:t>、</w:t>
            </w:r>
            <w:r>
              <w:rPr>
                <w:rFonts w:hint="eastAsia" w:ascii="楷体" w:hAnsi="楷体" w:eastAsia="楷体" w:cs="Times New Roman"/>
                <w:b/>
                <w:kern w:val="2"/>
                <w:sz w:val="21"/>
                <w:szCs w:val="21"/>
                <w:u w:val="single"/>
              </w:rPr>
              <w:t>医疗</w:t>
            </w:r>
            <w:r>
              <w:rPr>
                <w:rFonts w:hint="eastAsia"/>
                <w:color w:val="111111"/>
                <w:sz w:val="21"/>
                <w:szCs w:val="21"/>
              </w:rPr>
              <w:t>、</w:t>
            </w:r>
            <w:r>
              <w:rPr>
                <w:rFonts w:hint="eastAsia" w:ascii="楷体" w:hAnsi="楷体" w:eastAsia="楷体" w:cs="Times New Roman"/>
                <w:b/>
                <w:kern w:val="2"/>
                <w:sz w:val="21"/>
                <w:szCs w:val="21"/>
                <w:u w:val="single"/>
              </w:rPr>
              <w:t>工伤</w:t>
            </w:r>
            <w:r>
              <w:rPr>
                <w:rFonts w:hint="eastAsia"/>
                <w:color w:val="111111"/>
                <w:sz w:val="21"/>
                <w:szCs w:val="21"/>
              </w:rPr>
              <w:t>、</w:t>
            </w:r>
            <w:r>
              <w:rPr>
                <w:rFonts w:hint="eastAsia" w:ascii="楷体" w:hAnsi="楷体" w:eastAsia="楷体" w:cs="Times New Roman"/>
                <w:b/>
                <w:kern w:val="2"/>
                <w:sz w:val="21"/>
                <w:szCs w:val="21"/>
                <w:u w:val="single"/>
              </w:rPr>
              <w:t>生育</w:t>
            </w:r>
            <w:r>
              <w:rPr>
                <w:rFonts w:hint="eastAsia"/>
                <w:color w:val="111111"/>
                <w:sz w:val="21"/>
                <w:szCs w:val="21"/>
              </w:rPr>
              <w:t>、</w:t>
            </w:r>
            <w:r>
              <w:rPr>
                <w:rFonts w:hint="eastAsia" w:ascii="楷体" w:hAnsi="楷体" w:eastAsia="楷体" w:cs="Times New Roman"/>
                <w:b/>
                <w:kern w:val="2"/>
                <w:sz w:val="21"/>
                <w:szCs w:val="21"/>
                <w:u w:val="single"/>
              </w:rPr>
              <w:t>失业险</w:t>
            </w:r>
          </w:p>
        </w:tc>
        <w:tc>
          <w:tcPr>
            <w:tcW w:w="2271"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spacing w:before="0" w:beforeAutospacing="0" w:after="0" w:afterAutospacing="0"/>
              <w:jc w:val="both"/>
              <w:rPr>
                <w:color w:val="111111"/>
                <w:sz w:val="21"/>
                <w:szCs w:val="21"/>
              </w:rPr>
            </w:pPr>
            <w:r>
              <w:rPr>
                <w:rFonts w:hint="eastAsia" w:ascii="楷体" w:hAnsi="楷体" w:eastAsia="楷体" w:cs="Times New Roman"/>
                <w:b/>
                <w:kern w:val="2"/>
                <w:sz w:val="21"/>
                <w:szCs w:val="21"/>
                <w:u w:val="single"/>
              </w:rPr>
              <w:t>国家</w:t>
            </w:r>
            <w:r>
              <w:rPr>
                <w:rFonts w:hint="eastAsia"/>
                <w:color w:val="111111"/>
                <w:sz w:val="21"/>
                <w:szCs w:val="21"/>
              </w:rPr>
              <w:t>、</w:t>
            </w:r>
            <w:r>
              <w:rPr>
                <w:rFonts w:hint="eastAsia" w:ascii="楷体" w:hAnsi="楷体" w:eastAsia="楷体" w:cs="Times New Roman"/>
                <w:b/>
                <w:kern w:val="2"/>
                <w:sz w:val="21"/>
                <w:szCs w:val="21"/>
                <w:u w:val="single"/>
              </w:rPr>
              <w:t>社会</w:t>
            </w:r>
            <w:r>
              <w:rPr>
                <w:rFonts w:hint="eastAsia"/>
                <w:color w:val="111111"/>
                <w:sz w:val="21"/>
                <w:szCs w:val="21"/>
              </w:rPr>
              <w:t>、</w:t>
            </w:r>
            <w:r>
              <w:rPr>
                <w:rFonts w:hint="eastAsia" w:ascii="楷体" w:hAnsi="楷体" w:eastAsia="楷体" w:cs="Times New Roman"/>
                <w:b/>
                <w:kern w:val="2"/>
                <w:sz w:val="21"/>
                <w:szCs w:val="21"/>
                <w:u w:val="single"/>
              </w:rPr>
              <w:t>个人</w:t>
            </w:r>
            <w:r>
              <w:rPr>
                <w:rFonts w:hint="eastAsia"/>
                <w:color w:val="111111"/>
                <w:sz w:val="21"/>
                <w:szCs w:val="21"/>
              </w:rPr>
              <w:t>三方共同承担</w:t>
            </w:r>
          </w:p>
        </w:tc>
      </w:tr>
      <w:tr>
        <w:tblPrEx>
          <w:shd w:val="clear" w:color="auto" w:fill="FFFFFF"/>
          <w:tblCellMar>
            <w:top w:w="0" w:type="dxa"/>
            <w:left w:w="0" w:type="dxa"/>
            <w:bottom w:w="0" w:type="dxa"/>
            <w:right w:w="0" w:type="dxa"/>
          </w:tblCellMar>
        </w:tblPrEx>
        <w:tc>
          <w:tcPr>
            <w:tcW w:w="1098" w:type="dxa"/>
            <w:tcBorders>
              <w:top w:val="nil"/>
              <w:left w:val="single" w:color="auto" w:sz="6" w:space="0"/>
              <w:bottom w:val="single" w:color="auto" w:sz="6" w:space="0"/>
              <w:right w:val="single" w:color="auto" w:sz="4" w:space="0"/>
            </w:tcBorders>
            <w:shd w:val="clear" w:color="auto" w:fill="FFFFFF"/>
            <w:tcMar>
              <w:left w:w="105" w:type="dxa"/>
              <w:right w:w="105" w:type="dxa"/>
            </w:tcMar>
            <w:vAlign w:val="center"/>
          </w:tcPr>
          <w:p>
            <w:pPr>
              <w:pStyle w:val="5"/>
              <w:spacing w:before="0" w:beforeAutospacing="0" w:after="0" w:afterAutospacing="0"/>
              <w:jc w:val="center"/>
              <w:rPr>
                <w:rFonts w:ascii="仿宋" w:hAnsi="仿宋" w:eastAsia="仿宋" w:cs="Times New Roman"/>
                <w:b/>
                <w:kern w:val="2"/>
                <w:sz w:val="21"/>
                <w:szCs w:val="21"/>
              </w:rPr>
            </w:pPr>
            <w:r>
              <w:rPr>
                <w:rFonts w:hint="eastAsia" w:ascii="仿宋" w:hAnsi="仿宋" w:eastAsia="仿宋" w:cs="Times New Roman"/>
                <w:b/>
                <w:kern w:val="2"/>
                <w:sz w:val="21"/>
                <w:szCs w:val="21"/>
              </w:rPr>
              <w:t>社会救助</w:t>
            </w:r>
          </w:p>
        </w:tc>
        <w:tc>
          <w:tcPr>
            <w:tcW w:w="22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5"/>
              <w:spacing w:before="0" w:beforeAutospacing="0" w:after="0" w:afterAutospacing="0"/>
              <w:jc w:val="both"/>
              <w:rPr>
                <w:color w:val="111111"/>
                <w:sz w:val="21"/>
                <w:szCs w:val="21"/>
              </w:rPr>
            </w:pPr>
            <w:r>
              <w:rPr>
                <w:rFonts w:hint="eastAsia"/>
                <w:color w:val="111111"/>
                <w:sz w:val="21"/>
                <w:szCs w:val="21"/>
              </w:rPr>
              <w:t>最先形成、历史最悠久；</w:t>
            </w:r>
            <w:r>
              <w:rPr>
                <w:rFonts w:hint="eastAsia" w:ascii="楷体" w:hAnsi="楷体" w:eastAsia="楷体" w:cs="Times New Roman"/>
                <w:b/>
                <w:kern w:val="2"/>
                <w:sz w:val="21"/>
                <w:szCs w:val="21"/>
                <w:u w:val="single"/>
              </w:rPr>
              <w:t>最后一道</w:t>
            </w:r>
            <w:r>
              <w:rPr>
                <w:rFonts w:hint="eastAsia"/>
                <w:color w:val="111111"/>
                <w:sz w:val="21"/>
                <w:szCs w:val="21"/>
              </w:rPr>
              <w:t>防线</w:t>
            </w:r>
          </w:p>
        </w:tc>
        <w:tc>
          <w:tcPr>
            <w:tcW w:w="2268"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5"/>
              <w:spacing w:before="0" w:beforeAutospacing="0" w:after="0" w:afterAutospacing="0"/>
              <w:jc w:val="both"/>
              <w:rPr>
                <w:color w:val="111111"/>
                <w:sz w:val="21"/>
                <w:szCs w:val="21"/>
              </w:rPr>
            </w:pPr>
            <w:r>
              <w:rPr>
                <w:rFonts w:hint="eastAsia"/>
                <w:color w:val="111111"/>
                <w:sz w:val="21"/>
                <w:szCs w:val="21"/>
              </w:rPr>
              <w:t>无法维持</w:t>
            </w:r>
            <w:r>
              <w:rPr>
                <w:rFonts w:hint="eastAsia" w:ascii="楷体" w:hAnsi="楷体" w:eastAsia="楷体" w:cs="Times New Roman"/>
                <w:b/>
                <w:kern w:val="2"/>
                <w:sz w:val="21"/>
                <w:szCs w:val="21"/>
                <w:u w:val="single"/>
              </w:rPr>
              <w:t>最低生活</w:t>
            </w:r>
            <w:r>
              <w:rPr>
                <w:rFonts w:hint="eastAsia"/>
                <w:color w:val="111111"/>
                <w:sz w:val="21"/>
                <w:szCs w:val="21"/>
              </w:rPr>
              <w:t>水平的公</w:t>
            </w:r>
          </w:p>
        </w:tc>
        <w:tc>
          <w:tcPr>
            <w:tcW w:w="2126" w:type="dxa"/>
            <w:tcBorders>
              <w:top w:val="nil"/>
              <w:left w:val="single" w:color="auto" w:sz="4" w:space="0"/>
              <w:bottom w:val="single" w:color="auto" w:sz="6" w:space="0"/>
              <w:right w:val="single" w:color="auto" w:sz="6" w:space="0"/>
            </w:tcBorders>
            <w:shd w:val="clear" w:color="auto" w:fill="FFFFFF"/>
            <w:tcMar>
              <w:left w:w="105" w:type="dxa"/>
              <w:right w:w="105" w:type="dxa"/>
            </w:tcMar>
            <w:vAlign w:val="center"/>
          </w:tcPr>
          <w:p>
            <w:pPr>
              <w:pStyle w:val="5"/>
              <w:spacing w:before="0" w:beforeAutospacing="0" w:after="0" w:afterAutospacing="0"/>
              <w:jc w:val="both"/>
              <w:rPr>
                <w:color w:val="111111"/>
                <w:sz w:val="21"/>
                <w:szCs w:val="21"/>
              </w:rPr>
            </w:pPr>
            <w:r>
              <w:rPr>
                <w:rFonts w:hint="eastAsia"/>
                <w:color w:val="111111"/>
                <w:sz w:val="21"/>
                <w:szCs w:val="21"/>
              </w:rPr>
              <w:t>保障</w:t>
            </w:r>
            <w:r>
              <w:rPr>
                <w:rFonts w:hint="eastAsia" w:ascii="楷体" w:hAnsi="楷体" w:eastAsia="楷体" w:cs="Times New Roman"/>
                <w:b/>
                <w:kern w:val="2"/>
                <w:sz w:val="21"/>
                <w:szCs w:val="21"/>
                <w:u w:val="single"/>
              </w:rPr>
              <w:t>最低</w:t>
            </w:r>
            <w:r>
              <w:rPr>
                <w:rFonts w:hint="eastAsia"/>
                <w:color w:val="111111"/>
                <w:sz w:val="21"/>
                <w:szCs w:val="21"/>
              </w:rPr>
              <w:t>生活水平</w:t>
            </w:r>
          </w:p>
        </w:tc>
        <w:tc>
          <w:tcPr>
            <w:tcW w:w="2271"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spacing w:before="0" w:beforeAutospacing="0" w:after="0" w:afterAutospacing="0"/>
              <w:jc w:val="both"/>
              <w:rPr>
                <w:color w:val="111111"/>
                <w:sz w:val="21"/>
                <w:szCs w:val="21"/>
              </w:rPr>
            </w:pPr>
            <w:r>
              <w:rPr>
                <w:rFonts w:hint="eastAsia" w:ascii="楷体" w:hAnsi="楷体" w:eastAsia="楷体" w:cs="Times New Roman"/>
                <w:b/>
                <w:kern w:val="2"/>
                <w:sz w:val="21"/>
                <w:szCs w:val="21"/>
                <w:u w:val="single"/>
              </w:rPr>
              <w:t>政府</w:t>
            </w:r>
            <w:r>
              <w:rPr>
                <w:rFonts w:hint="eastAsia"/>
                <w:color w:val="111111"/>
                <w:sz w:val="21"/>
                <w:szCs w:val="21"/>
              </w:rPr>
              <w:t>通过国民收入再分配</w:t>
            </w:r>
          </w:p>
        </w:tc>
      </w:tr>
      <w:tr>
        <w:tblPrEx>
          <w:shd w:val="clear" w:color="auto" w:fill="FFFFFF"/>
          <w:tblCellMar>
            <w:top w:w="0" w:type="dxa"/>
            <w:left w:w="0" w:type="dxa"/>
            <w:bottom w:w="0" w:type="dxa"/>
            <w:right w:w="0" w:type="dxa"/>
          </w:tblCellMar>
        </w:tblPrEx>
        <w:tc>
          <w:tcPr>
            <w:tcW w:w="1098" w:type="dxa"/>
            <w:tcBorders>
              <w:top w:val="nil"/>
              <w:left w:val="single" w:color="auto" w:sz="6" w:space="0"/>
              <w:bottom w:val="single" w:color="auto" w:sz="6" w:space="0"/>
              <w:right w:val="single" w:color="auto" w:sz="4" w:space="0"/>
            </w:tcBorders>
            <w:shd w:val="clear" w:color="auto" w:fill="FFFFFF"/>
            <w:tcMar>
              <w:left w:w="105" w:type="dxa"/>
              <w:right w:w="105" w:type="dxa"/>
            </w:tcMar>
            <w:vAlign w:val="center"/>
          </w:tcPr>
          <w:p>
            <w:pPr>
              <w:pStyle w:val="5"/>
              <w:spacing w:before="0" w:beforeAutospacing="0" w:after="0" w:afterAutospacing="0"/>
              <w:jc w:val="center"/>
              <w:rPr>
                <w:rFonts w:ascii="仿宋" w:hAnsi="仿宋" w:eastAsia="仿宋" w:cs="Times New Roman"/>
                <w:b/>
                <w:kern w:val="2"/>
                <w:sz w:val="21"/>
                <w:szCs w:val="21"/>
              </w:rPr>
            </w:pPr>
            <w:r>
              <w:rPr>
                <w:rFonts w:hint="eastAsia" w:ascii="仿宋" w:hAnsi="仿宋" w:eastAsia="仿宋" w:cs="Times New Roman"/>
                <w:b/>
                <w:kern w:val="2"/>
                <w:sz w:val="21"/>
                <w:szCs w:val="21"/>
              </w:rPr>
              <w:t>社会福利</w:t>
            </w:r>
          </w:p>
        </w:tc>
        <w:tc>
          <w:tcPr>
            <w:tcW w:w="22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5"/>
              <w:spacing w:before="0" w:beforeAutospacing="0" w:after="0" w:afterAutospacing="0"/>
              <w:jc w:val="both"/>
              <w:rPr>
                <w:color w:val="111111"/>
                <w:sz w:val="21"/>
                <w:szCs w:val="21"/>
              </w:rPr>
            </w:pPr>
            <w:r>
              <w:rPr>
                <w:rFonts w:hint="eastAsia"/>
                <w:color w:val="111111"/>
                <w:sz w:val="21"/>
                <w:szCs w:val="21"/>
              </w:rPr>
              <w:t>最</w:t>
            </w:r>
            <w:r>
              <w:rPr>
                <w:rFonts w:hint="eastAsia" w:ascii="楷体" w:hAnsi="楷体" w:eastAsia="楷体" w:cs="Times New Roman"/>
                <w:b/>
                <w:kern w:val="2"/>
                <w:sz w:val="21"/>
                <w:szCs w:val="21"/>
                <w:u w:val="single"/>
              </w:rPr>
              <w:t>高</w:t>
            </w:r>
            <w:r>
              <w:rPr>
                <w:rFonts w:hint="eastAsia"/>
                <w:color w:val="111111"/>
                <w:sz w:val="21"/>
                <w:szCs w:val="21"/>
              </w:rPr>
              <w:t>层次的社会保障</w:t>
            </w:r>
          </w:p>
        </w:tc>
        <w:tc>
          <w:tcPr>
            <w:tcW w:w="2268"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5"/>
              <w:spacing w:before="0" w:beforeAutospacing="0" w:after="0" w:afterAutospacing="0"/>
              <w:jc w:val="both"/>
              <w:rPr>
                <w:color w:val="111111"/>
                <w:sz w:val="21"/>
                <w:szCs w:val="21"/>
              </w:rPr>
            </w:pPr>
            <w:r>
              <w:rPr>
                <w:rFonts w:hint="eastAsia"/>
                <w:color w:val="111111"/>
                <w:sz w:val="21"/>
                <w:szCs w:val="21"/>
              </w:rPr>
              <w:t>“</w:t>
            </w:r>
            <w:r>
              <w:rPr>
                <w:rFonts w:hint="eastAsia" w:ascii="楷体" w:hAnsi="楷体" w:eastAsia="楷体" w:cs="Times New Roman"/>
                <w:b/>
                <w:kern w:val="2"/>
                <w:sz w:val="21"/>
                <w:szCs w:val="21"/>
                <w:u w:val="single"/>
              </w:rPr>
              <w:t>老残妇儿</w:t>
            </w:r>
            <w:r>
              <w:rPr>
                <w:rFonts w:hint="eastAsia"/>
                <w:color w:val="111111"/>
                <w:sz w:val="21"/>
                <w:szCs w:val="21"/>
              </w:rPr>
              <w:t>”和其他</w:t>
            </w:r>
          </w:p>
        </w:tc>
        <w:tc>
          <w:tcPr>
            <w:tcW w:w="2126" w:type="dxa"/>
            <w:tcBorders>
              <w:top w:val="nil"/>
              <w:left w:val="single" w:color="auto" w:sz="4" w:space="0"/>
              <w:bottom w:val="single" w:color="auto" w:sz="6" w:space="0"/>
              <w:right w:val="single" w:color="auto" w:sz="6" w:space="0"/>
            </w:tcBorders>
            <w:shd w:val="clear" w:color="auto" w:fill="FFFFFF"/>
            <w:tcMar>
              <w:left w:w="105" w:type="dxa"/>
              <w:right w:w="105" w:type="dxa"/>
            </w:tcMar>
            <w:vAlign w:val="center"/>
          </w:tcPr>
          <w:p>
            <w:pPr>
              <w:pStyle w:val="5"/>
              <w:spacing w:before="0" w:beforeAutospacing="0" w:after="0" w:afterAutospacing="0"/>
              <w:jc w:val="both"/>
              <w:rPr>
                <w:color w:val="111111"/>
                <w:sz w:val="21"/>
                <w:szCs w:val="21"/>
              </w:rPr>
            </w:pPr>
            <w:r>
              <w:rPr>
                <w:rFonts w:hint="eastAsia"/>
                <w:color w:val="111111"/>
                <w:sz w:val="21"/>
                <w:szCs w:val="21"/>
              </w:rPr>
              <w:t>社会化服务、实物供给、福利津贴</w:t>
            </w:r>
          </w:p>
        </w:tc>
        <w:tc>
          <w:tcPr>
            <w:tcW w:w="2271"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spacing w:before="0" w:beforeAutospacing="0" w:after="0" w:afterAutospacing="0"/>
              <w:jc w:val="both"/>
              <w:rPr>
                <w:color w:val="111111"/>
                <w:sz w:val="21"/>
                <w:szCs w:val="21"/>
              </w:rPr>
            </w:pPr>
            <w:r>
              <w:rPr>
                <w:rFonts w:hint="eastAsia"/>
                <w:color w:val="111111"/>
                <w:sz w:val="21"/>
                <w:szCs w:val="21"/>
              </w:rPr>
              <w:t>政府和社会提供</w:t>
            </w:r>
          </w:p>
        </w:tc>
      </w:tr>
      <w:tr>
        <w:tblPrEx>
          <w:shd w:val="clear" w:color="auto" w:fill="FFFFFF"/>
          <w:tblCellMar>
            <w:top w:w="0" w:type="dxa"/>
            <w:left w:w="0" w:type="dxa"/>
            <w:bottom w:w="0" w:type="dxa"/>
            <w:right w:w="0" w:type="dxa"/>
          </w:tblCellMar>
        </w:tblPrEx>
        <w:tc>
          <w:tcPr>
            <w:tcW w:w="1098" w:type="dxa"/>
            <w:tcBorders>
              <w:top w:val="nil"/>
              <w:left w:val="single" w:color="auto" w:sz="6" w:space="0"/>
              <w:bottom w:val="single" w:color="auto" w:sz="6" w:space="0"/>
              <w:right w:val="single" w:color="auto" w:sz="4" w:space="0"/>
            </w:tcBorders>
            <w:shd w:val="clear" w:color="auto" w:fill="FFFFFF"/>
            <w:tcMar>
              <w:left w:w="105" w:type="dxa"/>
              <w:right w:w="105" w:type="dxa"/>
            </w:tcMar>
            <w:vAlign w:val="center"/>
          </w:tcPr>
          <w:p>
            <w:pPr>
              <w:pStyle w:val="5"/>
              <w:spacing w:before="0" w:beforeAutospacing="0" w:after="0" w:afterAutospacing="0"/>
              <w:jc w:val="center"/>
              <w:rPr>
                <w:rFonts w:ascii="仿宋" w:hAnsi="仿宋" w:eastAsia="仿宋" w:cs="Times New Roman"/>
                <w:b/>
                <w:kern w:val="2"/>
                <w:sz w:val="21"/>
                <w:szCs w:val="21"/>
              </w:rPr>
            </w:pPr>
            <w:r>
              <w:rPr>
                <w:rFonts w:hint="eastAsia" w:ascii="仿宋" w:hAnsi="仿宋" w:eastAsia="仿宋" w:cs="Times New Roman"/>
                <w:b/>
                <w:kern w:val="2"/>
                <w:sz w:val="21"/>
                <w:szCs w:val="21"/>
              </w:rPr>
              <w:t>社会优抚</w:t>
            </w:r>
          </w:p>
        </w:tc>
        <w:tc>
          <w:tcPr>
            <w:tcW w:w="22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5"/>
              <w:spacing w:before="0" w:beforeAutospacing="0" w:after="0" w:afterAutospacing="0"/>
              <w:jc w:val="both"/>
              <w:rPr>
                <w:color w:val="111111"/>
                <w:sz w:val="21"/>
                <w:szCs w:val="21"/>
              </w:rPr>
            </w:pPr>
            <w:r>
              <w:rPr>
                <w:rFonts w:hint="eastAsia"/>
                <w:color w:val="111111"/>
                <w:sz w:val="21"/>
                <w:szCs w:val="21"/>
              </w:rPr>
              <w:t>褒扬性、补偿性、优待性、综合性的、</w:t>
            </w:r>
            <w:r>
              <w:rPr>
                <w:rFonts w:hint="eastAsia" w:ascii="楷体" w:hAnsi="楷体" w:eastAsia="楷体" w:cs="Times New Roman"/>
                <w:b/>
                <w:kern w:val="2"/>
                <w:sz w:val="21"/>
                <w:szCs w:val="21"/>
                <w:u w:val="single"/>
              </w:rPr>
              <w:t>特殊</w:t>
            </w:r>
            <w:r>
              <w:rPr>
                <w:rFonts w:hint="eastAsia"/>
                <w:color w:val="111111"/>
                <w:sz w:val="21"/>
                <w:szCs w:val="21"/>
              </w:rPr>
              <w:t>的社会保障</w:t>
            </w:r>
          </w:p>
        </w:tc>
        <w:tc>
          <w:tcPr>
            <w:tcW w:w="2268"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5"/>
              <w:spacing w:before="0" w:beforeAutospacing="0" w:after="0" w:afterAutospacing="0"/>
              <w:jc w:val="both"/>
              <w:rPr>
                <w:color w:val="111111"/>
                <w:sz w:val="21"/>
                <w:szCs w:val="21"/>
              </w:rPr>
            </w:pPr>
            <w:r>
              <w:rPr>
                <w:rFonts w:hint="eastAsia" w:ascii="楷体" w:hAnsi="楷体" w:eastAsia="楷体" w:cs="Times New Roman"/>
                <w:b/>
                <w:kern w:val="2"/>
                <w:sz w:val="21"/>
                <w:szCs w:val="21"/>
                <w:u w:val="single"/>
              </w:rPr>
              <w:t>军人</w:t>
            </w:r>
            <w:r>
              <w:rPr>
                <w:rFonts w:hint="eastAsia"/>
                <w:color w:val="111111"/>
                <w:sz w:val="21"/>
                <w:szCs w:val="21"/>
              </w:rPr>
              <w:t>及军烈属</w:t>
            </w:r>
          </w:p>
        </w:tc>
        <w:tc>
          <w:tcPr>
            <w:tcW w:w="2126" w:type="dxa"/>
            <w:tcBorders>
              <w:top w:val="nil"/>
              <w:left w:val="single" w:color="auto" w:sz="4" w:space="0"/>
              <w:bottom w:val="single" w:color="auto" w:sz="6" w:space="0"/>
              <w:right w:val="single" w:color="auto" w:sz="6" w:space="0"/>
            </w:tcBorders>
            <w:shd w:val="clear" w:color="auto" w:fill="FFFFFF"/>
            <w:tcMar>
              <w:left w:w="105" w:type="dxa"/>
              <w:right w:w="105" w:type="dxa"/>
            </w:tcMar>
            <w:vAlign w:val="center"/>
          </w:tcPr>
          <w:p>
            <w:pPr>
              <w:pStyle w:val="5"/>
              <w:spacing w:before="0" w:beforeAutospacing="0" w:after="0" w:afterAutospacing="0"/>
              <w:jc w:val="both"/>
              <w:rPr>
                <w:color w:val="111111"/>
                <w:sz w:val="21"/>
                <w:szCs w:val="21"/>
              </w:rPr>
            </w:pPr>
            <w:r>
              <w:rPr>
                <w:rFonts w:hint="eastAsia"/>
                <w:color w:val="111111"/>
                <w:sz w:val="21"/>
                <w:szCs w:val="21"/>
              </w:rPr>
              <w:t>物质照顾和精神抚慰</w:t>
            </w:r>
          </w:p>
        </w:tc>
        <w:tc>
          <w:tcPr>
            <w:tcW w:w="2271"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spacing w:before="0" w:beforeAutospacing="0" w:after="0" w:afterAutospacing="0"/>
              <w:jc w:val="both"/>
              <w:rPr>
                <w:color w:val="111111"/>
                <w:sz w:val="21"/>
                <w:szCs w:val="21"/>
              </w:rPr>
            </w:pPr>
            <w:r>
              <w:rPr>
                <w:rFonts w:hint="eastAsia"/>
                <w:color w:val="111111"/>
                <w:sz w:val="21"/>
                <w:szCs w:val="21"/>
              </w:rPr>
              <w:t>国家和社会提供</w:t>
            </w:r>
          </w:p>
        </w:tc>
      </w:tr>
    </w:tbl>
    <w:p>
      <w:pPr>
        <w:jc w:val="left"/>
        <w:rPr>
          <w:rFonts w:ascii="宋体" w:hAnsi="宋体" w:cs="宋体"/>
          <w:b/>
          <w:bCs/>
          <w:color w:val="000000"/>
          <w:kern w:val="0"/>
          <w:szCs w:val="21"/>
          <w:lang w:bidi="ar"/>
        </w:rPr>
      </w:pPr>
      <w:r>
        <w:rPr>
          <w:rFonts w:hint="eastAsia" w:ascii="宋体" w:hAnsi="宋体" w:cs="宋体"/>
          <w:b/>
          <w:bCs/>
          <w:color w:val="000000"/>
          <w:kern w:val="0"/>
          <w:szCs w:val="21"/>
          <w:lang w:bidi="ar"/>
        </w:rPr>
        <w:t>2.社会保险和商业保险的区分</w:t>
      </w:r>
    </w:p>
    <w:tbl>
      <w:tblPr>
        <w:tblStyle w:val="6"/>
        <w:tblW w:w="10031"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4102"/>
        <w:gridCol w:w="4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tcPr>
          <w:p>
            <w:pPr>
              <w:widowControl/>
              <w:jc w:val="left"/>
              <w:rPr>
                <w:rFonts w:ascii="宋体" w:hAnsi="宋体" w:cs="宋体"/>
                <w:bCs/>
                <w:szCs w:val="21"/>
              </w:rPr>
            </w:pPr>
          </w:p>
        </w:tc>
        <w:tc>
          <w:tcPr>
            <w:tcW w:w="4102" w:type="dxa"/>
            <w:shd w:val="clear" w:color="auto" w:fill="auto"/>
          </w:tcPr>
          <w:p>
            <w:pPr>
              <w:widowControl/>
              <w:jc w:val="center"/>
              <w:rPr>
                <w:rFonts w:ascii="仿宋" w:hAnsi="仿宋" w:eastAsia="仿宋"/>
                <w:b/>
                <w:szCs w:val="21"/>
              </w:rPr>
            </w:pPr>
            <w:r>
              <w:rPr>
                <w:rFonts w:hint="eastAsia" w:ascii="仿宋" w:hAnsi="仿宋" w:eastAsia="仿宋"/>
                <w:b/>
                <w:szCs w:val="21"/>
              </w:rPr>
              <w:t>社会保险</w:t>
            </w:r>
          </w:p>
        </w:tc>
        <w:tc>
          <w:tcPr>
            <w:tcW w:w="4687" w:type="dxa"/>
            <w:shd w:val="clear" w:color="auto" w:fill="auto"/>
          </w:tcPr>
          <w:p>
            <w:pPr>
              <w:widowControl/>
              <w:jc w:val="center"/>
              <w:rPr>
                <w:rFonts w:ascii="仿宋" w:hAnsi="仿宋" w:eastAsia="仿宋"/>
                <w:b/>
                <w:szCs w:val="21"/>
              </w:rPr>
            </w:pPr>
            <w:r>
              <w:rPr>
                <w:rFonts w:hint="eastAsia" w:ascii="仿宋" w:hAnsi="仿宋" w:eastAsia="仿宋"/>
                <w:b/>
                <w:szCs w:val="21"/>
              </w:rPr>
              <w:t>商业保险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tcPr>
          <w:p>
            <w:pPr>
              <w:widowControl/>
              <w:jc w:val="center"/>
              <w:rPr>
                <w:rFonts w:ascii="仿宋" w:hAnsi="仿宋" w:eastAsia="仿宋"/>
                <w:b/>
                <w:szCs w:val="21"/>
              </w:rPr>
            </w:pPr>
            <w:r>
              <w:rPr>
                <w:rFonts w:hint="eastAsia" w:ascii="仿宋" w:hAnsi="仿宋" w:eastAsia="仿宋"/>
                <w:b/>
                <w:szCs w:val="21"/>
              </w:rPr>
              <w:t>性质</w:t>
            </w:r>
          </w:p>
        </w:tc>
        <w:tc>
          <w:tcPr>
            <w:tcW w:w="4102" w:type="dxa"/>
            <w:shd w:val="clear" w:color="auto" w:fill="auto"/>
          </w:tcPr>
          <w:p>
            <w:pPr>
              <w:widowControl/>
              <w:jc w:val="left"/>
              <w:rPr>
                <w:rFonts w:ascii="宋体" w:hAnsi="宋体" w:cs="宋体"/>
                <w:color w:val="111111"/>
                <w:kern w:val="0"/>
                <w:szCs w:val="21"/>
              </w:rPr>
            </w:pPr>
            <w:r>
              <w:rPr>
                <w:rFonts w:hint="eastAsia" w:ascii="宋体" w:hAnsi="宋体" w:cs="宋体"/>
                <w:color w:val="111111"/>
                <w:kern w:val="0"/>
                <w:szCs w:val="21"/>
              </w:rPr>
              <w:t>具有</w:t>
            </w:r>
            <w:r>
              <w:rPr>
                <w:rFonts w:hint="eastAsia" w:ascii="楷体" w:hAnsi="楷体" w:eastAsia="楷体"/>
                <w:b/>
                <w:szCs w:val="21"/>
                <w:u w:val="single"/>
              </w:rPr>
              <w:t>强制</w:t>
            </w:r>
            <w:r>
              <w:rPr>
                <w:rFonts w:hint="eastAsia" w:ascii="宋体" w:hAnsi="宋体" w:cs="宋体"/>
                <w:color w:val="111111"/>
                <w:kern w:val="0"/>
                <w:szCs w:val="21"/>
              </w:rPr>
              <w:t>性和</w:t>
            </w:r>
            <w:r>
              <w:rPr>
                <w:rFonts w:hint="eastAsia" w:ascii="楷体" w:hAnsi="楷体" w:eastAsia="楷体"/>
                <w:b/>
                <w:szCs w:val="21"/>
                <w:u w:val="single"/>
              </w:rPr>
              <w:t>福利</w:t>
            </w:r>
            <w:r>
              <w:rPr>
                <w:rFonts w:hint="eastAsia" w:ascii="宋体" w:hAnsi="宋体" w:cs="宋体"/>
                <w:color w:val="111111"/>
                <w:kern w:val="0"/>
                <w:szCs w:val="21"/>
              </w:rPr>
              <w:t>性</w:t>
            </w:r>
          </w:p>
        </w:tc>
        <w:tc>
          <w:tcPr>
            <w:tcW w:w="4687" w:type="dxa"/>
            <w:shd w:val="clear" w:color="auto" w:fill="auto"/>
          </w:tcPr>
          <w:p>
            <w:pPr>
              <w:widowControl/>
              <w:jc w:val="left"/>
              <w:rPr>
                <w:rFonts w:ascii="宋体" w:hAnsi="宋体" w:cs="宋体"/>
                <w:color w:val="111111"/>
                <w:kern w:val="0"/>
                <w:szCs w:val="21"/>
              </w:rPr>
            </w:pPr>
            <w:r>
              <w:rPr>
                <w:rFonts w:hint="eastAsia" w:ascii="楷体" w:hAnsi="楷体" w:eastAsia="楷体"/>
                <w:b/>
                <w:szCs w:val="21"/>
                <w:u w:val="single"/>
              </w:rPr>
              <w:t>自愿</w:t>
            </w:r>
            <w:r>
              <w:rPr>
                <w:rFonts w:hint="eastAsia" w:ascii="宋体" w:hAnsi="宋体" w:cs="宋体"/>
                <w:color w:val="111111"/>
                <w:kern w:val="0"/>
                <w:szCs w:val="21"/>
              </w:rPr>
              <w:t>的市场行为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tcPr>
          <w:p>
            <w:pPr>
              <w:widowControl/>
              <w:jc w:val="center"/>
              <w:rPr>
                <w:rFonts w:ascii="仿宋" w:hAnsi="仿宋" w:eastAsia="仿宋"/>
                <w:b/>
                <w:szCs w:val="21"/>
              </w:rPr>
            </w:pPr>
            <w:r>
              <w:rPr>
                <w:rFonts w:hint="eastAsia" w:ascii="仿宋" w:hAnsi="仿宋" w:eastAsia="仿宋"/>
                <w:b/>
                <w:szCs w:val="21"/>
              </w:rPr>
              <w:t>经营目标</w:t>
            </w:r>
          </w:p>
        </w:tc>
        <w:tc>
          <w:tcPr>
            <w:tcW w:w="4102" w:type="dxa"/>
            <w:shd w:val="clear" w:color="auto" w:fill="auto"/>
          </w:tcPr>
          <w:p>
            <w:pPr>
              <w:widowControl/>
              <w:jc w:val="left"/>
              <w:rPr>
                <w:rFonts w:ascii="宋体" w:hAnsi="宋体" w:cs="宋体"/>
                <w:color w:val="111111"/>
                <w:kern w:val="0"/>
                <w:szCs w:val="21"/>
              </w:rPr>
            </w:pPr>
            <w:r>
              <w:rPr>
                <w:rFonts w:hint="eastAsia" w:ascii="宋体" w:hAnsi="宋体" w:cs="宋体"/>
                <w:color w:val="111111"/>
                <w:kern w:val="0"/>
                <w:szCs w:val="21"/>
              </w:rPr>
              <w:t>保障社会成员的基本生活，维护社会稳定</w:t>
            </w:r>
          </w:p>
        </w:tc>
        <w:tc>
          <w:tcPr>
            <w:tcW w:w="4687" w:type="dxa"/>
            <w:shd w:val="clear" w:color="auto" w:fill="auto"/>
          </w:tcPr>
          <w:p>
            <w:pPr>
              <w:widowControl/>
              <w:jc w:val="left"/>
              <w:rPr>
                <w:rFonts w:ascii="宋体" w:hAnsi="宋体" w:cs="宋体"/>
                <w:color w:val="111111"/>
                <w:kern w:val="0"/>
                <w:szCs w:val="21"/>
              </w:rPr>
            </w:pPr>
            <w:r>
              <w:rPr>
                <w:rFonts w:hint="eastAsia" w:ascii="宋体" w:hAnsi="宋体" w:cs="宋体"/>
                <w:color w:val="111111"/>
                <w:kern w:val="0"/>
                <w:szCs w:val="21"/>
              </w:rPr>
              <w:t>追求利润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tcPr>
          <w:p>
            <w:pPr>
              <w:widowControl/>
              <w:jc w:val="center"/>
              <w:rPr>
                <w:rFonts w:ascii="仿宋" w:hAnsi="仿宋" w:eastAsia="仿宋"/>
                <w:b/>
                <w:szCs w:val="21"/>
              </w:rPr>
            </w:pPr>
            <w:r>
              <w:rPr>
                <w:rFonts w:hint="eastAsia" w:ascii="仿宋" w:hAnsi="仿宋" w:eastAsia="仿宋"/>
                <w:b/>
                <w:szCs w:val="21"/>
              </w:rPr>
              <w:t>经营方式</w:t>
            </w:r>
          </w:p>
        </w:tc>
        <w:tc>
          <w:tcPr>
            <w:tcW w:w="4102" w:type="dxa"/>
            <w:shd w:val="clear" w:color="auto" w:fill="auto"/>
          </w:tcPr>
          <w:p>
            <w:pPr>
              <w:widowControl/>
              <w:jc w:val="left"/>
              <w:rPr>
                <w:rFonts w:ascii="宋体" w:hAnsi="宋体" w:cs="宋体"/>
                <w:color w:val="111111"/>
                <w:kern w:val="0"/>
                <w:szCs w:val="21"/>
              </w:rPr>
            </w:pPr>
            <w:r>
              <w:rPr>
                <w:rFonts w:hint="eastAsia" w:ascii="宋体" w:hAnsi="宋体" w:cs="宋体"/>
                <w:color w:val="111111"/>
                <w:kern w:val="0"/>
                <w:szCs w:val="21"/>
              </w:rPr>
              <w:t>由</w:t>
            </w:r>
            <w:r>
              <w:rPr>
                <w:rFonts w:hint="eastAsia" w:ascii="楷体" w:hAnsi="楷体" w:eastAsia="楷体"/>
                <w:b/>
                <w:szCs w:val="21"/>
                <w:u w:val="single"/>
              </w:rPr>
              <w:t>国家</w:t>
            </w:r>
            <w:r>
              <w:rPr>
                <w:rFonts w:hint="eastAsia" w:ascii="宋体" w:hAnsi="宋体" w:cs="宋体"/>
                <w:color w:val="111111"/>
                <w:kern w:val="0"/>
                <w:szCs w:val="21"/>
              </w:rPr>
              <w:t>经办</w:t>
            </w:r>
          </w:p>
        </w:tc>
        <w:tc>
          <w:tcPr>
            <w:tcW w:w="4687" w:type="dxa"/>
            <w:shd w:val="clear" w:color="auto" w:fill="auto"/>
          </w:tcPr>
          <w:p>
            <w:pPr>
              <w:widowControl/>
              <w:jc w:val="left"/>
              <w:rPr>
                <w:rFonts w:ascii="宋体" w:hAnsi="宋体" w:cs="宋体"/>
                <w:color w:val="111111"/>
                <w:kern w:val="0"/>
                <w:szCs w:val="21"/>
              </w:rPr>
            </w:pPr>
            <w:r>
              <w:rPr>
                <w:rFonts w:hint="eastAsia" w:ascii="楷体" w:hAnsi="楷体" w:eastAsia="楷体"/>
                <w:b/>
                <w:szCs w:val="21"/>
                <w:u w:val="single"/>
              </w:rPr>
              <w:t>保险公司</w:t>
            </w:r>
            <w:r>
              <w:rPr>
                <w:rFonts w:hint="eastAsia" w:ascii="宋体" w:hAnsi="宋体" w:cs="宋体"/>
                <w:color w:val="111111"/>
                <w:kern w:val="0"/>
                <w:szCs w:val="21"/>
              </w:rPr>
              <w:t>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tcPr>
          <w:p>
            <w:pPr>
              <w:widowControl/>
              <w:jc w:val="center"/>
              <w:rPr>
                <w:rFonts w:ascii="仿宋" w:hAnsi="仿宋" w:eastAsia="仿宋"/>
                <w:b/>
                <w:szCs w:val="21"/>
              </w:rPr>
            </w:pPr>
            <w:r>
              <w:rPr>
                <w:rFonts w:hint="eastAsia" w:ascii="仿宋" w:hAnsi="仿宋" w:eastAsia="仿宋"/>
                <w:b/>
                <w:szCs w:val="21"/>
              </w:rPr>
              <w:t>费用来源</w:t>
            </w:r>
          </w:p>
        </w:tc>
        <w:tc>
          <w:tcPr>
            <w:tcW w:w="4102" w:type="dxa"/>
            <w:shd w:val="clear" w:color="auto" w:fill="auto"/>
          </w:tcPr>
          <w:p>
            <w:pPr>
              <w:widowControl/>
              <w:jc w:val="left"/>
              <w:rPr>
                <w:rFonts w:ascii="宋体" w:hAnsi="宋体" w:cs="宋体"/>
                <w:color w:val="111111"/>
                <w:kern w:val="0"/>
                <w:szCs w:val="21"/>
              </w:rPr>
            </w:pPr>
            <w:r>
              <w:rPr>
                <w:rFonts w:hint="eastAsia" w:ascii="宋体" w:hAnsi="宋体" w:cs="宋体"/>
                <w:color w:val="111111"/>
                <w:kern w:val="0"/>
                <w:szCs w:val="21"/>
              </w:rPr>
              <w:t>由国家、单位和个人分摊</w:t>
            </w:r>
          </w:p>
        </w:tc>
        <w:tc>
          <w:tcPr>
            <w:tcW w:w="4687" w:type="dxa"/>
            <w:shd w:val="clear" w:color="auto" w:fill="auto"/>
          </w:tcPr>
          <w:p>
            <w:pPr>
              <w:widowControl/>
              <w:jc w:val="left"/>
              <w:rPr>
                <w:rFonts w:ascii="宋体" w:hAnsi="宋体" w:cs="宋体"/>
                <w:color w:val="111111"/>
                <w:kern w:val="0"/>
                <w:szCs w:val="21"/>
              </w:rPr>
            </w:pPr>
            <w:r>
              <w:rPr>
                <w:rFonts w:hint="eastAsia" w:ascii="宋体" w:hAnsi="宋体" w:cs="宋体"/>
                <w:color w:val="111111"/>
                <w:kern w:val="0"/>
                <w:szCs w:val="21"/>
              </w:rPr>
              <w:t>全部由个人承担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tcPr>
          <w:p>
            <w:pPr>
              <w:widowControl/>
              <w:jc w:val="center"/>
              <w:rPr>
                <w:rFonts w:ascii="仿宋" w:hAnsi="仿宋" w:eastAsia="仿宋"/>
                <w:b/>
                <w:szCs w:val="21"/>
              </w:rPr>
            </w:pPr>
            <w:r>
              <w:rPr>
                <w:rFonts w:hint="eastAsia" w:ascii="仿宋" w:hAnsi="仿宋" w:eastAsia="仿宋"/>
                <w:b/>
                <w:szCs w:val="21"/>
              </w:rPr>
              <w:t>保障水平</w:t>
            </w:r>
          </w:p>
        </w:tc>
        <w:tc>
          <w:tcPr>
            <w:tcW w:w="4102" w:type="dxa"/>
            <w:shd w:val="clear" w:color="auto" w:fill="auto"/>
          </w:tcPr>
          <w:p>
            <w:pPr>
              <w:widowControl/>
              <w:jc w:val="left"/>
              <w:rPr>
                <w:rFonts w:ascii="宋体" w:hAnsi="宋体" w:cs="宋体"/>
                <w:color w:val="111111"/>
                <w:kern w:val="0"/>
                <w:szCs w:val="21"/>
              </w:rPr>
            </w:pPr>
            <w:r>
              <w:rPr>
                <w:rFonts w:hint="eastAsia" w:ascii="宋体" w:hAnsi="宋体" w:cs="宋体"/>
                <w:color w:val="111111"/>
                <w:kern w:val="0"/>
                <w:szCs w:val="21"/>
              </w:rPr>
              <w:t>保障社会成员的</w:t>
            </w:r>
            <w:r>
              <w:rPr>
                <w:rFonts w:hint="eastAsia" w:ascii="楷体" w:hAnsi="楷体" w:eastAsia="楷体"/>
                <w:b/>
                <w:szCs w:val="21"/>
                <w:u w:val="single"/>
              </w:rPr>
              <w:t>基本</w:t>
            </w:r>
            <w:r>
              <w:rPr>
                <w:rFonts w:hint="eastAsia" w:ascii="宋体" w:hAnsi="宋体" w:cs="宋体"/>
                <w:color w:val="111111"/>
                <w:kern w:val="0"/>
                <w:szCs w:val="21"/>
              </w:rPr>
              <w:t>生活需求</w:t>
            </w:r>
          </w:p>
        </w:tc>
        <w:tc>
          <w:tcPr>
            <w:tcW w:w="4687" w:type="dxa"/>
            <w:shd w:val="clear" w:color="auto" w:fill="auto"/>
          </w:tcPr>
          <w:p>
            <w:pPr>
              <w:widowControl/>
              <w:jc w:val="left"/>
              <w:rPr>
                <w:rFonts w:ascii="宋体" w:hAnsi="宋体" w:cs="宋体"/>
                <w:color w:val="111111"/>
                <w:kern w:val="0"/>
                <w:szCs w:val="21"/>
              </w:rPr>
            </w:pPr>
            <w:r>
              <w:rPr>
                <w:rFonts w:hint="eastAsia" w:ascii="宋体" w:hAnsi="宋体" w:cs="宋体"/>
                <w:color w:val="111111"/>
                <w:kern w:val="0"/>
                <w:szCs w:val="21"/>
              </w:rPr>
              <w:t>满足被保险人的较</w:t>
            </w:r>
            <w:r>
              <w:rPr>
                <w:rFonts w:hint="eastAsia" w:ascii="楷体" w:hAnsi="楷体" w:eastAsia="楷体"/>
                <w:b/>
                <w:szCs w:val="21"/>
                <w:u w:val="single"/>
              </w:rPr>
              <w:t>高</w:t>
            </w:r>
            <w:r>
              <w:rPr>
                <w:rFonts w:hint="eastAsia" w:ascii="宋体" w:hAnsi="宋体" w:cs="宋体"/>
                <w:color w:val="111111"/>
                <w:kern w:val="0"/>
                <w:szCs w:val="21"/>
              </w:rPr>
              <w:t>层次的保险需求</w:t>
            </w:r>
          </w:p>
        </w:tc>
      </w:tr>
    </w:tbl>
    <w:p>
      <w:pPr>
        <w:pStyle w:val="2"/>
        <w:ind w:left="0"/>
        <w:rPr>
          <w:lang w:val="en-US"/>
        </w:rPr>
      </w:pPr>
      <w:r>
        <w:rPr>
          <w:rFonts w:hint="eastAsia"/>
          <w:b/>
          <w:bCs/>
          <w:lang w:val="en-US"/>
        </w:rPr>
        <w:t>3.</w:t>
      </w:r>
      <w:r>
        <w:rPr>
          <w:rFonts w:hint="eastAsia"/>
          <w:b/>
        </w:rPr>
        <w:t>国家怎样织密社会保障“安全网”</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（1）完善社会保障体系，要</w:t>
      </w:r>
      <w:r>
        <w:rPr>
          <w:rFonts w:hint="eastAsia" w:ascii="楷体" w:hAnsi="楷体" w:eastAsia="楷体" w:cs="楷体"/>
          <w:b/>
          <w:bCs/>
          <w:color w:val="000000" w:themeColor="text1"/>
          <w:szCs w:val="21"/>
          <w:u w:val="single"/>
          <w14:textFill>
            <w14:solidFill>
              <w14:schemeClr w14:val="tx1"/>
            </w14:solidFill>
          </w14:textFill>
        </w:rPr>
        <w:t>公平对待</w:t>
      </w:r>
      <w:r>
        <w:rPr>
          <w:rFonts w:hint="eastAsia" w:ascii="宋体" w:hAnsi="宋体" w:cs="宋体"/>
          <w:color w:val="000000" w:themeColor="text1"/>
          <w:szCs w:val="21"/>
          <w14:textFill>
            <w14:solidFill>
              <w14:schemeClr w14:val="tx1"/>
            </w14:solidFill>
          </w14:textFill>
        </w:rPr>
        <w:t>每个公民并确保其享受相应的社会保障权益。</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（2）完善社会保障体系，既要</w:t>
      </w:r>
      <w:r>
        <w:rPr>
          <w:rFonts w:hint="eastAsia" w:ascii="楷体" w:hAnsi="楷体" w:eastAsia="楷体" w:cs="楷体"/>
          <w:b/>
          <w:bCs/>
          <w:color w:val="000000" w:themeColor="text1"/>
          <w:szCs w:val="21"/>
          <w:u w:val="single"/>
          <w14:textFill>
            <w14:solidFill>
              <w14:schemeClr w14:val="tx1"/>
            </w14:solidFill>
          </w14:textFill>
        </w:rPr>
        <w:t>尽力而为</w:t>
      </w:r>
      <w:r>
        <w:rPr>
          <w:rFonts w:hint="eastAsia" w:ascii="宋体" w:hAnsi="宋体" w:cs="宋体"/>
          <w:color w:val="000000" w:themeColor="text1"/>
          <w:szCs w:val="21"/>
          <w14:textFill>
            <w14:solidFill>
              <w14:schemeClr w14:val="tx1"/>
            </w14:solidFill>
          </w14:textFill>
        </w:rPr>
        <w:t>，又要</w:t>
      </w:r>
      <w:r>
        <w:rPr>
          <w:rFonts w:hint="eastAsia" w:ascii="楷体" w:hAnsi="楷体" w:eastAsia="楷体" w:cs="楷体"/>
          <w:b/>
          <w:bCs/>
          <w:color w:val="000000" w:themeColor="text1"/>
          <w:szCs w:val="21"/>
          <w:u w:val="single"/>
          <w14:textFill>
            <w14:solidFill>
              <w14:schemeClr w14:val="tx1"/>
            </w14:solidFill>
          </w14:textFill>
        </w:rPr>
        <w:t>量力而行</w:t>
      </w:r>
      <w:r>
        <w:rPr>
          <w:rFonts w:hint="eastAsia" w:ascii="宋体" w:hAnsi="宋体" w:cs="宋体"/>
          <w:color w:val="000000" w:themeColor="text1"/>
          <w:szCs w:val="21"/>
          <w14:textFill>
            <w14:solidFill>
              <w14:schemeClr w14:val="tx1"/>
            </w14:solidFill>
          </w14:textFill>
        </w:rPr>
        <w:t>，要坚持</w:t>
      </w:r>
      <w:r>
        <w:rPr>
          <w:rFonts w:hint="eastAsia" w:ascii="楷体" w:hAnsi="楷体" w:eastAsia="楷体" w:cs="楷体"/>
          <w:b/>
          <w:bCs/>
          <w:color w:val="000000" w:themeColor="text1"/>
          <w:szCs w:val="21"/>
          <w:u w:val="single"/>
          <w14:textFill>
            <w14:solidFill>
              <w14:schemeClr w14:val="tx1"/>
            </w14:solidFill>
          </w14:textFill>
        </w:rPr>
        <w:t>社会保障水平与经济社会发展相适应</w:t>
      </w:r>
      <w:r>
        <w:rPr>
          <w:rFonts w:hint="eastAsia" w:ascii="宋体" w:hAnsi="宋体" w:cs="宋体"/>
          <w:color w:val="000000" w:themeColor="text1"/>
          <w:szCs w:val="21"/>
          <w14:textFill>
            <w14:solidFill>
              <w14:schemeClr w14:val="tx1"/>
            </w14:solidFill>
          </w14:textFill>
        </w:rPr>
        <w:t>。</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（3）完善社会保障体系要做到</w:t>
      </w:r>
      <w:r>
        <w:rPr>
          <w:rFonts w:hint="eastAsia" w:ascii="楷体" w:hAnsi="楷体" w:eastAsia="楷体" w:cs="楷体"/>
          <w:b/>
          <w:bCs/>
          <w:color w:val="000000" w:themeColor="text1"/>
          <w:szCs w:val="21"/>
          <w:u w:val="single"/>
          <w14:textFill>
            <w14:solidFill>
              <w14:schemeClr w14:val="tx1"/>
            </w14:solidFill>
          </w14:textFill>
        </w:rPr>
        <w:t>权责清晰</w:t>
      </w:r>
      <w:r>
        <w:rPr>
          <w:rFonts w:hint="eastAsia" w:ascii="宋体" w:hAnsi="宋体" w:cs="宋体"/>
          <w:color w:val="000000" w:themeColor="text1"/>
          <w:szCs w:val="21"/>
          <w14:textFill>
            <w14:solidFill>
              <w14:schemeClr w14:val="tx1"/>
            </w14:solidFill>
          </w14:textFill>
        </w:rPr>
        <w:t>。</w:t>
      </w:r>
    </w:p>
    <w:p>
      <w:pPr>
        <w:rPr>
          <w:rFonts w:ascii="宋体" w:hAnsi="宋体" w:cs="宋体"/>
          <w:szCs w:val="21"/>
          <w:highlight w:val="yellow"/>
        </w:rPr>
      </w:pPr>
      <w:r>
        <w:rPr>
          <w:rFonts w:hint="eastAsia" w:ascii="宋体" w:hAnsi="宋体" w:cs="宋体"/>
          <w:color w:val="000000" w:themeColor="text1"/>
          <w:szCs w:val="21"/>
          <w14:textFill>
            <w14:solidFill>
              <w14:schemeClr w14:val="tx1"/>
            </w14:solidFill>
          </w14:textFill>
        </w:rPr>
        <w:t>（4）健全多层次社会保障体系，要坚持</w:t>
      </w:r>
      <w:r>
        <w:rPr>
          <w:rFonts w:hint="eastAsia" w:ascii="楷体" w:hAnsi="楷体" w:eastAsia="楷体" w:cs="楷体"/>
          <w:b/>
          <w:bCs/>
          <w:color w:val="000000" w:themeColor="text1"/>
          <w:szCs w:val="21"/>
          <w:u w:val="single"/>
          <w14:textFill>
            <w14:solidFill>
              <w14:schemeClr w14:val="tx1"/>
            </w14:solidFill>
          </w14:textFill>
        </w:rPr>
        <w:t>应保尽保原则</w:t>
      </w:r>
      <w:r>
        <w:rPr>
          <w:rFonts w:hint="eastAsia" w:ascii="宋体" w:hAnsi="宋体" w:cs="宋体"/>
          <w:color w:val="000000" w:themeColor="text1"/>
          <w:szCs w:val="21"/>
          <w14:textFill>
            <w14:solidFill>
              <w14:schemeClr w14:val="tx1"/>
            </w14:solidFill>
          </w14:textFill>
        </w:rPr>
        <w:t>，按照兜底线、织密网、建机制的要求，加快</w:t>
      </w:r>
      <w:r>
        <w:rPr>
          <w:rFonts w:hint="eastAsia" w:ascii="楷体" w:hAnsi="楷体" w:eastAsia="楷体" w:cs="楷体"/>
          <w:b/>
          <w:bCs/>
          <w:color w:val="000000" w:themeColor="text1"/>
          <w:szCs w:val="21"/>
          <w:u w:val="single"/>
          <w14:textFill>
            <w14:solidFill>
              <w14:schemeClr w14:val="tx1"/>
            </w14:solidFill>
          </w14:textFill>
        </w:rPr>
        <w:t>健全覆盖全民、城乡统筹、公平统一、可持续的多层次</w:t>
      </w:r>
      <w:r>
        <w:rPr>
          <w:rFonts w:hint="eastAsia" w:ascii="宋体" w:hAnsi="宋体" w:cs="宋体"/>
          <w:color w:val="000000" w:themeColor="text1"/>
          <w:szCs w:val="21"/>
          <w14:textFill>
            <w14:solidFill>
              <w14:schemeClr w14:val="tx1"/>
            </w14:solidFill>
          </w14:textFill>
        </w:rPr>
        <w:t>社会保障体系。</w:t>
      </w:r>
    </w:p>
    <w:p>
      <w:pPr>
        <w:pStyle w:val="3"/>
        <w:tabs>
          <w:tab w:val="left" w:pos="3402"/>
        </w:tabs>
        <w:snapToGrid w:val="0"/>
        <w:rPr>
          <w:b/>
          <w:bCs/>
        </w:rPr>
      </w:pPr>
      <w:r>
        <w:rPr>
          <w:rFonts w:hint="eastAsia"/>
          <w:b/>
          <w:bCs/>
        </w:rPr>
        <w:t>【导思】</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1.</w:t>
      </w:r>
      <w:r>
        <w:rPr>
          <w:rFonts w:hint="eastAsia"/>
        </w:rPr>
        <w:t>阅读材料，完成下列要求。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ascii="楷体" w:hAnsi="楷体" w:eastAsia="楷体" w:cs="楷体"/>
        </w:rPr>
      </w:pPr>
      <w:r>
        <w:rPr>
          <w:rFonts w:hint="eastAsia" w:ascii="楷体" w:hAnsi="楷体" w:eastAsia="楷体" w:cs="楷体"/>
        </w:rPr>
        <w:t>小韩：每个月都缴纳基本养老保险、基本医疗保险、失业保险，将来有保障，心里踏实多了！</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楷体" w:hAnsi="楷体" w:eastAsia="楷体" w:cs="楷体"/>
        </w:rPr>
      </w:pPr>
      <w:r>
        <w:rPr>
          <w:rFonts w:hint="eastAsia" w:ascii="楷体" w:hAnsi="楷体" w:eastAsia="楷体" w:cs="楷体"/>
        </w:rPr>
        <w:t xml:space="preserve">    任奶奶：我八十岁了，住在社区居家养老服务中心，有人照顾，国家每个月还给我补贴，生活真好！</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楷体" w:hAnsi="楷体" w:eastAsia="楷体" w:cs="楷体"/>
        </w:rPr>
      </w:pPr>
      <w:r>
        <w:rPr>
          <w:rFonts w:hint="eastAsia" w:ascii="楷体" w:hAnsi="楷体" w:eastAsia="楷体" w:cs="楷体"/>
        </w:rPr>
        <w:t xml:space="preserve">    小丁：妈妈身体不好，爸爸生了重病住院，家里没有了收入。村里帮助我家申请了低保，这下我可以安心上学了。</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b/>
        </w:rPr>
      </w:pPr>
      <w:r>
        <w:rPr>
          <w:rFonts w:hint="eastAsia"/>
          <w:b/>
        </w:rPr>
        <w:t>分析上述对话涉及哪些社会保障形式，并说明社会保障有什么作用。</w:t>
      </w:r>
    </w:p>
    <w:p>
      <w:pPr>
        <w:keepNext w:val="0"/>
        <w:keepLines w:val="0"/>
        <w:pageBreakBefore w:val="0"/>
        <w:widowControl w:val="0"/>
        <w:kinsoku/>
        <w:wordWrap/>
        <w:overflowPunct/>
        <w:topLinePunct w:val="0"/>
        <w:autoSpaceDE/>
        <w:autoSpaceDN/>
        <w:bidi w:val="0"/>
        <w:adjustRightInd/>
        <w:snapToGrid/>
        <w:spacing w:line="240" w:lineRule="auto"/>
        <w:rPr>
          <w:rFonts w:ascii="宋体" w:hAnsi="宋体" w:cs="宋体"/>
          <w:bCs/>
          <w:color w:val="0000FF"/>
          <w:szCs w:val="21"/>
        </w:rPr>
      </w:pPr>
      <w:r>
        <w:rPr>
          <w:rFonts w:hint="eastAsia" w:ascii="宋体" w:hAnsi="宋体" w:cs="宋体"/>
          <w:bCs/>
          <w:color w:val="0000FF"/>
          <w:szCs w:val="21"/>
          <w:u w:val="dotted"/>
        </w:rPr>
        <w:t xml:space="preserve">                                                                                                                                                                                                                                                                                                                                                                                                                                                                                                                                                                                                                                                                                                                                                                                                                                                                                                                                                              </w:t>
      </w:r>
      <w:r>
        <w:rPr>
          <w:rFonts w:hint="eastAsia" w:ascii="宋体" w:hAnsi="宋体" w:cs="宋体"/>
          <w:bCs/>
          <w:color w:val="0000FF"/>
          <w:szCs w:val="21"/>
        </w:rPr>
        <w:t xml:space="preserve">                              </w:t>
      </w:r>
    </w:p>
    <w:p>
      <w:pPr>
        <w:keepNext w:val="0"/>
        <w:keepLines w:val="0"/>
        <w:pageBreakBefore w:val="0"/>
        <w:widowControl w:val="0"/>
        <w:kinsoku/>
        <w:wordWrap/>
        <w:overflowPunct/>
        <w:topLinePunct w:val="0"/>
        <w:autoSpaceDE/>
        <w:autoSpaceDN/>
        <w:bidi w:val="0"/>
        <w:adjustRightInd/>
        <w:snapToGrid/>
        <w:spacing w:line="240" w:lineRule="auto"/>
        <w:rPr>
          <w:rFonts w:ascii="宋体" w:hAnsi="宋体" w:cs="宋体"/>
          <w:bCs/>
          <w:color w:val="0000FF"/>
          <w:szCs w:val="21"/>
        </w:rPr>
      </w:pPr>
      <w:r>
        <w:rPr>
          <w:rFonts w:hint="eastAsia" w:ascii="宋体" w:hAnsi="宋体" w:cs="宋体"/>
          <w:bCs/>
          <w:color w:val="0000FF"/>
          <w:szCs w:val="21"/>
          <w:u w:val="dotted"/>
        </w:rPr>
        <w:t xml:space="preserve">                                                                                                                                                                                                                                                                                                                                                                                                                                                                                                                                                                                                                                                                                                                                                                                                                                                                                                                                                                                                                                                                                                                                                                                                                                                                                                                                                                                                                                           </w:t>
      </w:r>
      <w:r>
        <w:rPr>
          <w:rFonts w:hint="eastAsia" w:ascii="宋体" w:hAnsi="宋体" w:cs="宋体"/>
          <w:bCs/>
          <w:color w:val="0000FF"/>
          <w:szCs w:val="21"/>
        </w:rPr>
        <w:t xml:space="preserve">                              </w:t>
      </w:r>
    </w:p>
    <w:p>
      <w:pPr>
        <w:keepNext w:val="0"/>
        <w:keepLines w:val="0"/>
        <w:pageBreakBefore w:val="0"/>
        <w:widowControl w:val="0"/>
        <w:kinsoku/>
        <w:wordWrap/>
        <w:overflowPunct/>
        <w:topLinePunct w:val="0"/>
        <w:autoSpaceDE/>
        <w:autoSpaceDN/>
        <w:bidi w:val="0"/>
        <w:adjustRightInd/>
        <w:snapToGrid/>
        <w:spacing w:line="240" w:lineRule="auto"/>
        <w:rPr>
          <w:rFonts w:ascii="宋体" w:hAnsi="宋体" w:cs="宋体"/>
          <w:bCs/>
          <w:color w:val="0000FF"/>
          <w:szCs w:val="21"/>
        </w:rPr>
      </w:pPr>
      <w:r>
        <w:rPr>
          <w:rFonts w:hint="eastAsia" w:ascii="宋体" w:hAnsi="宋体" w:cs="宋体"/>
          <w:bCs/>
          <w:color w:val="0000FF"/>
          <w:szCs w:val="21"/>
          <w:u w:val="dotted"/>
        </w:rPr>
        <w:t xml:space="preserve">                                                                                                                                                                                                                                                                                                                                                                                                                                                                                                                                                                                                                                                                                                                                                                                                                                                                                                                                                                                                                                                           </w:t>
      </w:r>
      <w:r>
        <w:rPr>
          <w:rFonts w:hint="eastAsia" w:ascii="宋体" w:hAnsi="宋体" w:cs="宋体"/>
          <w:bCs/>
          <w:color w:val="0000FF"/>
          <w:szCs w:val="21"/>
        </w:rPr>
        <w:t xml:space="preserve">                              </w:t>
      </w:r>
    </w:p>
    <w:p>
      <w:pPr>
        <w:keepNext w:val="0"/>
        <w:keepLines w:val="0"/>
        <w:pageBreakBefore w:val="0"/>
        <w:widowControl w:val="0"/>
        <w:kinsoku/>
        <w:wordWrap/>
        <w:overflowPunct/>
        <w:topLinePunct w:val="0"/>
        <w:autoSpaceDE/>
        <w:autoSpaceDN/>
        <w:bidi w:val="0"/>
        <w:adjustRightInd/>
        <w:snapToGrid/>
        <w:spacing w:line="240" w:lineRule="auto"/>
        <w:rPr>
          <w:rFonts w:ascii="宋体" w:hAnsi="宋体" w:cs="宋体"/>
          <w:bCs/>
          <w:color w:val="0000FF"/>
          <w:szCs w:val="21"/>
        </w:rPr>
      </w:pPr>
      <w:r>
        <w:rPr>
          <w:rFonts w:hint="eastAsia" w:ascii="宋体" w:hAnsi="宋体" w:cs="宋体"/>
          <w:bCs/>
          <w:color w:val="0000FF"/>
          <w:szCs w:val="21"/>
          <w:u w:val="dotted"/>
        </w:rPr>
        <w:t xml:space="preserve">                                                                                                                                                                                                                                                                                                                                                                                                                                                                                                                                                                                                                                                                                                                                                                                                                                                                                                                                                                                                                                                           </w:t>
      </w:r>
      <w:r>
        <w:rPr>
          <w:rFonts w:hint="eastAsia" w:ascii="宋体" w:hAnsi="宋体" w:cs="宋体"/>
          <w:bCs/>
          <w:color w:val="0000FF"/>
          <w:szCs w:val="21"/>
        </w:rPr>
        <w:t xml:space="preserve">                              </w:t>
      </w:r>
    </w:p>
    <w:p>
      <w:pPr>
        <w:keepNext w:val="0"/>
        <w:keepLines w:val="0"/>
        <w:pageBreakBefore w:val="0"/>
        <w:widowControl w:val="0"/>
        <w:kinsoku/>
        <w:wordWrap/>
        <w:overflowPunct/>
        <w:topLinePunct w:val="0"/>
        <w:autoSpaceDE/>
        <w:autoSpaceDN/>
        <w:bidi w:val="0"/>
        <w:adjustRightInd/>
        <w:snapToGrid/>
        <w:spacing w:line="240" w:lineRule="auto"/>
        <w:rPr>
          <w:rFonts w:ascii="宋体" w:hAnsi="宋体" w:cs="宋体"/>
          <w:bCs/>
          <w:color w:val="0000FF"/>
          <w:szCs w:val="21"/>
        </w:rPr>
      </w:pPr>
      <w:r>
        <w:rPr>
          <w:rFonts w:hint="eastAsia" w:ascii="宋体" w:hAnsi="宋体" w:cs="宋体"/>
          <w:bCs/>
          <w:color w:val="0000FF"/>
          <w:szCs w:val="21"/>
          <w:u w:val="dotted"/>
        </w:rPr>
        <w:t xml:space="preserve">                                                                                                                                                                                                                                                                                                                                                                                                                                                                                                                                                                                                                                                                                                                                                                                                                                                                                                                                                                                                                                                           </w:t>
      </w:r>
      <w:r>
        <w:rPr>
          <w:rFonts w:hint="eastAsia" w:ascii="宋体" w:hAnsi="宋体" w:cs="宋体"/>
          <w:bCs/>
          <w:color w:val="0000FF"/>
          <w:szCs w:val="21"/>
        </w:rPr>
        <w:t xml:space="preserve">                              </w:t>
      </w:r>
    </w:p>
    <w:p>
      <w:pPr>
        <w:keepNext w:val="0"/>
        <w:keepLines w:val="0"/>
        <w:pageBreakBefore w:val="0"/>
        <w:widowControl w:val="0"/>
        <w:kinsoku/>
        <w:wordWrap/>
        <w:overflowPunct/>
        <w:topLinePunct w:val="0"/>
        <w:autoSpaceDE/>
        <w:autoSpaceDN/>
        <w:bidi w:val="0"/>
        <w:adjustRightInd/>
        <w:snapToGrid/>
        <w:spacing w:line="240" w:lineRule="auto"/>
        <w:rPr>
          <w:rFonts w:ascii="宋体" w:hAnsi="宋体" w:cs="宋体"/>
          <w:bCs/>
          <w:color w:val="0000FF"/>
          <w:szCs w:val="21"/>
        </w:rPr>
      </w:pPr>
      <w:r>
        <w:rPr>
          <w:rFonts w:hint="eastAsia" w:ascii="宋体" w:hAnsi="宋体" w:cs="宋体"/>
          <w:bCs/>
          <w:color w:val="0000FF"/>
          <w:szCs w:val="21"/>
          <w:u w:val="dotted"/>
        </w:rPr>
        <w:t xml:space="preserve">                                                                                                                                                                                                                                                                                                                                                                                                                                                                                                                                                                                                                                                                                                                                                                                                                                                                                                                                                                                                                                                           </w:t>
      </w:r>
      <w:r>
        <w:rPr>
          <w:rFonts w:hint="eastAsia" w:ascii="宋体" w:hAnsi="宋体" w:cs="宋体"/>
          <w:bCs/>
          <w:color w:val="0000FF"/>
          <w:szCs w:val="21"/>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rPr>
      </w:pPr>
      <w:r>
        <w:t>2.</w:t>
      </w:r>
      <w:r>
        <w:rPr>
          <w:rFonts w:hint="eastAsia"/>
        </w:rPr>
        <w:t>阅读材料，完成下列要求。</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ascii="楷体" w:hAnsi="楷体" w:eastAsia="楷体" w:cs="楷体"/>
        </w:rPr>
      </w:pPr>
      <w:r>
        <w:rPr>
          <w:rFonts w:hint="eastAsia" w:ascii="楷体" w:hAnsi="楷体" w:eastAsia="楷体" w:cs="楷体"/>
        </w:rPr>
        <w:t>我国60岁以上人口已超过2.6亿，如何保障好老年群体的生活质量已成为关乎社会稳定和发展的重要问题。目前我国社区养老服务设施已覆盖全部城镇社区和50%以上的农村社区，为此，民政部门将牵头健全农村养老服务保障制度，积极为低收入、高龄、独居、残疾、失能农村老年人提供养老服务。随着经济发展，我国养老金逐年上调，各类用人单位要依法为职工缴纳社会保险，切实维护职工合法权益；我国建立起世界上规模最大的基本医疗保障网，参保人数超过13亿人，参保率稳定在95%以上……“底线”加紧筑牢，“保障网”更为坚实，让人民群众更多分享改革发展成果。</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b/>
        </w:rPr>
      </w:pPr>
      <w:r>
        <w:rPr>
          <w:rFonts w:hint="eastAsia"/>
          <w:b/>
        </w:rPr>
        <w:t>运用社会保障的相关知识，谈谈如何完善社会保障体系以更好地保障老年群体的生活质量。</w:t>
      </w:r>
    </w:p>
    <w:p>
      <w:pPr>
        <w:keepNext w:val="0"/>
        <w:keepLines w:val="0"/>
        <w:pageBreakBefore w:val="0"/>
        <w:widowControl w:val="0"/>
        <w:kinsoku/>
        <w:wordWrap/>
        <w:overflowPunct/>
        <w:topLinePunct w:val="0"/>
        <w:autoSpaceDE/>
        <w:autoSpaceDN/>
        <w:bidi w:val="0"/>
        <w:adjustRightInd/>
        <w:snapToGrid/>
        <w:spacing w:line="240" w:lineRule="auto"/>
        <w:rPr>
          <w:rFonts w:ascii="宋体" w:hAnsi="宋体" w:cs="宋体"/>
          <w:bCs/>
          <w:color w:val="0000FF"/>
          <w:szCs w:val="21"/>
        </w:rPr>
      </w:pPr>
      <w:r>
        <w:rPr>
          <w:rFonts w:hint="eastAsia" w:ascii="宋体" w:hAnsi="宋体" w:cs="宋体"/>
          <w:bCs/>
          <w:color w:val="0000FF"/>
          <w:szCs w:val="21"/>
          <w:u w:val="dotted"/>
        </w:rPr>
        <w:t xml:space="preserve">                                                                                                                                                                                                                                                                                                                                                                                                                                                                                                                                                                                                                                                                                                                                                                                                                                                                                                                                                              </w:t>
      </w:r>
      <w:r>
        <w:rPr>
          <w:rFonts w:hint="eastAsia" w:ascii="宋体" w:hAnsi="宋体" w:cs="宋体"/>
          <w:bCs/>
          <w:color w:val="0000FF"/>
          <w:szCs w:val="21"/>
        </w:rPr>
        <w:t xml:space="preserve">                              </w:t>
      </w:r>
    </w:p>
    <w:p>
      <w:pPr>
        <w:keepNext w:val="0"/>
        <w:keepLines w:val="0"/>
        <w:pageBreakBefore w:val="0"/>
        <w:widowControl w:val="0"/>
        <w:kinsoku/>
        <w:wordWrap/>
        <w:overflowPunct/>
        <w:topLinePunct w:val="0"/>
        <w:autoSpaceDE/>
        <w:autoSpaceDN/>
        <w:bidi w:val="0"/>
        <w:adjustRightInd/>
        <w:snapToGrid/>
        <w:spacing w:line="240" w:lineRule="auto"/>
        <w:rPr>
          <w:rFonts w:ascii="宋体" w:hAnsi="宋体" w:cs="宋体"/>
          <w:bCs/>
          <w:color w:val="0000FF"/>
          <w:szCs w:val="21"/>
        </w:rPr>
      </w:pPr>
      <w:r>
        <w:rPr>
          <w:rFonts w:hint="eastAsia" w:ascii="宋体" w:hAnsi="宋体" w:cs="宋体"/>
          <w:bCs/>
          <w:color w:val="0000FF"/>
          <w:szCs w:val="21"/>
          <w:u w:val="dotted"/>
        </w:rPr>
        <w:t xml:space="preserve">                                                                                                                                                                                                                                                                                                                                                                                                                                                                                                                                                                                                                                                                                                                                                                                                                                                                                                                                                                                                                                                                                                                                                                                                                                                                                                                                                                                                                                           </w:t>
      </w:r>
      <w:r>
        <w:rPr>
          <w:rFonts w:hint="eastAsia" w:ascii="宋体" w:hAnsi="宋体" w:cs="宋体"/>
          <w:bCs/>
          <w:color w:val="0000FF"/>
          <w:szCs w:val="21"/>
        </w:rPr>
        <w:t xml:space="preserve">                              </w:t>
      </w:r>
    </w:p>
    <w:p>
      <w:pPr>
        <w:keepNext w:val="0"/>
        <w:keepLines w:val="0"/>
        <w:pageBreakBefore w:val="0"/>
        <w:widowControl w:val="0"/>
        <w:kinsoku/>
        <w:wordWrap/>
        <w:overflowPunct/>
        <w:topLinePunct w:val="0"/>
        <w:autoSpaceDE/>
        <w:autoSpaceDN/>
        <w:bidi w:val="0"/>
        <w:adjustRightInd/>
        <w:snapToGrid/>
        <w:spacing w:line="240" w:lineRule="auto"/>
        <w:rPr>
          <w:rFonts w:ascii="宋体" w:hAnsi="宋体" w:cs="宋体"/>
          <w:bCs/>
          <w:color w:val="0000FF"/>
          <w:szCs w:val="21"/>
        </w:rPr>
      </w:pPr>
      <w:r>
        <w:rPr>
          <w:rFonts w:hint="eastAsia" w:ascii="宋体" w:hAnsi="宋体" w:cs="宋体"/>
          <w:bCs/>
          <w:color w:val="0000FF"/>
          <w:szCs w:val="21"/>
          <w:u w:val="dotted"/>
        </w:rPr>
        <w:t xml:space="preserve">                                                                                                                                                                                                                                                                                                                                                                                                                                                                                                                                                                                                                                                                                                                                                                                                                                                                                                                                                                                                                                                           </w:t>
      </w:r>
      <w:r>
        <w:rPr>
          <w:rFonts w:hint="eastAsia" w:ascii="宋体" w:hAnsi="宋体" w:cs="宋体"/>
          <w:bCs/>
          <w:color w:val="0000FF"/>
          <w:szCs w:val="21"/>
        </w:rPr>
        <w:t xml:space="preserve">                              </w:t>
      </w:r>
    </w:p>
    <w:p>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cs="宋体"/>
          <w:bCs/>
          <w:color w:val="0000FF"/>
          <w:szCs w:val="21"/>
          <w:u w:val="dotted"/>
        </w:rPr>
      </w:pPr>
      <w:r>
        <w:rPr>
          <w:rFonts w:hint="eastAsia" w:ascii="宋体" w:hAnsi="宋体" w:cs="宋体"/>
          <w:bCs/>
          <w:color w:val="0000FF"/>
          <w:szCs w:val="21"/>
          <w:u w:val="dotted"/>
        </w:rPr>
        <w:t xml:space="preserve">                                                                                               </w:t>
      </w:r>
    </w:p>
    <w:p>
      <w:pPr>
        <w:keepNext w:val="0"/>
        <w:keepLines w:val="0"/>
        <w:pageBreakBefore w:val="0"/>
        <w:widowControl w:val="0"/>
        <w:kinsoku/>
        <w:wordWrap/>
        <w:overflowPunct/>
        <w:topLinePunct w:val="0"/>
        <w:autoSpaceDE/>
        <w:autoSpaceDN/>
        <w:bidi w:val="0"/>
        <w:adjustRightInd/>
        <w:snapToGrid/>
        <w:spacing w:line="240" w:lineRule="auto"/>
        <w:rPr>
          <w:rFonts w:ascii="宋体" w:hAnsi="宋体" w:cs="宋体"/>
          <w:bCs/>
          <w:color w:val="0000FF"/>
          <w:szCs w:val="21"/>
        </w:rPr>
      </w:pPr>
      <w:r>
        <w:rPr>
          <w:rFonts w:hint="eastAsia" w:ascii="宋体" w:hAnsi="宋体" w:cs="宋体"/>
          <w:bCs/>
          <w:color w:val="0000FF"/>
          <w:szCs w:val="21"/>
          <w:u w:val="dotted"/>
        </w:rPr>
        <w:t xml:space="preserve">                                                                                                                                                                                                                                                                                                                                                                                                                                                                                                                                                                                                                                                                                                                                                                                                                                                                                                                                                            </w:t>
      </w:r>
      <w:r>
        <w:rPr>
          <w:rFonts w:hint="eastAsia" w:ascii="宋体" w:hAnsi="宋体" w:cs="宋体"/>
          <w:bCs/>
          <w:color w:val="0000FF"/>
          <w:szCs w:val="21"/>
        </w:rPr>
        <w:t xml:space="preserve">                              </w:t>
      </w:r>
    </w:p>
    <w:p>
      <w:pPr>
        <w:rPr>
          <w:b/>
          <w:bCs/>
          <w:color w:val="0000FF"/>
        </w:rPr>
      </w:pPr>
      <w:r>
        <w:rPr>
          <w:rFonts w:hint="eastAsia"/>
          <w:b/>
          <w:bCs/>
        </w:rPr>
        <w:t>二、知识体系构建</w:t>
      </w:r>
    </w:p>
    <w:p>
      <w:pPr>
        <w:pStyle w:val="3"/>
        <w:tabs>
          <w:tab w:val="left" w:pos="3402"/>
        </w:tabs>
        <w:snapToGrid w:val="0"/>
        <w:rPr>
          <w:rFonts w:ascii="Times New Roman" w:hAnsi="Times New Roman" w:cs="Times New Roman"/>
        </w:rPr>
      </w:pPr>
    </w:p>
    <w:p>
      <w:pPr>
        <w:pStyle w:val="3"/>
        <w:tabs>
          <w:tab w:val="left" w:pos="3402"/>
        </w:tabs>
        <w:snapToGrid w:val="0"/>
        <w:rPr>
          <w:rFonts w:ascii="Times New Roman" w:hAnsi="Times New Roman" w:cs="Times New Roman"/>
        </w:rPr>
      </w:pPr>
    </w:p>
    <w:p>
      <w:pPr>
        <w:pStyle w:val="3"/>
        <w:tabs>
          <w:tab w:val="left" w:pos="3402"/>
        </w:tabs>
        <w:snapToGrid w:val="0"/>
        <w:rPr>
          <w:rFonts w:ascii="Times New Roman" w:hAnsi="Times New Roman" w:cs="Times New Roman"/>
        </w:rPr>
      </w:pPr>
    </w:p>
    <w:p>
      <w:pPr>
        <w:pStyle w:val="3"/>
        <w:tabs>
          <w:tab w:val="left" w:pos="3402"/>
        </w:tabs>
        <w:snapToGrid w:val="0"/>
        <w:rPr>
          <w:rFonts w:ascii="Times New Roman" w:hAnsi="Times New Roman" w:cs="Times New Roman"/>
        </w:rPr>
      </w:pPr>
    </w:p>
    <w:p>
      <w:pPr>
        <w:pStyle w:val="3"/>
        <w:tabs>
          <w:tab w:val="left" w:pos="3402"/>
        </w:tabs>
        <w:snapToGrid w:val="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"E:\\马珊珊\\2023\\同步\\2023秋 步步高 思想政治 部编版 必修2（通用）\\教师用书Word版文档\\W24.TIF" \* MERGEFORMATINET</w:instrText>
      </w:r>
      <w:r>
        <w:rPr>
          <w:rFonts w:ascii="Times New Roman" w:hAnsi="Times New Roman" w:cs="Times New Roman"/>
        </w:rPr>
        <w:instrText xml:space="preserve"> </w:instrText>
      </w:r>
      <w:r>
        <w:rPr>
          <w:rFonts w:ascii="Times New Roman" w:hAnsi="Times New Roman" w:cs="Times New Roman"/>
        </w:rPr>
        <w:fldChar w:fldCharType="end"/>
      </w:r>
    </w:p>
    <w:p>
      <w:pPr>
        <w:pStyle w:val="3"/>
        <w:tabs>
          <w:tab w:val="left" w:pos="3402"/>
        </w:tabs>
        <w:snapToGrid w:val="0"/>
        <w:rPr>
          <w:b/>
          <w:bCs/>
        </w:rPr>
      </w:pPr>
    </w:p>
    <w:p>
      <w:pPr>
        <w:pStyle w:val="3"/>
        <w:tabs>
          <w:tab w:val="left" w:pos="3402"/>
        </w:tabs>
        <w:snapToGrid w:val="0"/>
        <w:rPr>
          <w:b/>
          <w:bCs/>
        </w:rPr>
      </w:pPr>
    </w:p>
    <w:p>
      <w:pPr>
        <w:pStyle w:val="3"/>
        <w:tabs>
          <w:tab w:val="left" w:pos="3402"/>
        </w:tabs>
        <w:snapToGrid w:val="0"/>
        <w:rPr>
          <w:b/>
          <w:bCs/>
        </w:rPr>
      </w:pPr>
    </w:p>
    <w:p>
      <w:pPr>
        <w:pStyle w:val="3"/>
        <w:tabs>
          <w:tab w:val="left" w:pos="3402"/>
        </w:tabs>
        <w:snapToGrid w:val="0"/>
        <w:rPr>
          <w:b/>
          <w:bCs/>
        </w:rPr>
      </w:pPr>
    </w:p>
    <w:p>
      <w:pPr>
        <w:pStyle w:val="3"/>
        <w:tabs>
          <w:tab w:val="left" w:pos="3402"/>
        </w:tabs>
        <w:snapToGrid w:val="0"/>
        <w:rPr>
          <w:b/>
          <w:bCs/>
        </w:rPr>
      </w:pPr>
    </w:p>
    <w:p>
      <w:pPr>
        <w:pStyle w:val="3"/>
        <w:tabs>
          <w:tab w:val="left" w:pos="3402"/>
        </w:tabs>
        <w:snapToGrid w:val="0"/>
        <w:rPr>
          <w:b/>
          <w:bCs/>
        </w:rPr>
      </w:pPr>
    </w:p>
    <w:p>
      <w:pPr>
        <w:pStyle w:val="3"/>
        <w:tabs>
          <w:tab w:val="left" w:pos="3402"/>
        </w:tabs>
        <w:snapToGrid w:val="0"/>
        <w:rPr>
          <w:b/>
          <w:bCs/>
        </w:rPr>
      </w:pPr>
    </w:p>
    <w:p>
      <w:pPr>
        <w:pStyle w:val="3"/>
        <w:tabs>
          <w:tab w:val="left" w:pos="3402"/>
        </w:tabs>
        <w:snapToGrid w:val="0"/>
        <w:rPr>
          <w:b/>
          <w:bCs/>
        </w:rPr>
      </w:pPr>
      <w:r>
        <w:rPr>
          <w:rFonts w:hint="eastAsia"/>
          <w:b/>
          <w:bCs/>
        </w:rPr>
        <w:t>【导练】</w:t>
      </w:r>
    </w:p>
    <w:p>
      <w:pPr>
        <w:jc w:val="left"/>
        <w:textAlignment w:val="center"/>
        <w:rPr>
          <w:rFonts w:ascii="宋体" w:hAnsi="宋体" w:cs="宋体"/>
          <w:szCs w:val="21"/>
        </w:rPr>
      </w:pPr>
      <w:r>
        <w:rPr>
          <w:rFonts w:hint="eastAsia" w:ascii="宋体" w:hAnsi="宋体" w:cs="宋体"/>
          <w:szCs w:val="21"/>
        </w:rPr>
        <w:t>1．为推动养老金融领域的发展，汕头市政府积极支持“惠民保”的推广与升级。该项目在2023年保障方案基础上进行了提升，降低了起付标准，实现协议期内国谈药品全覆盖，提供了更多样化的健康服务管理。该项目有利于（</w:t>
      </w:r>
      <w:r>
        <w:rPr>
          <w:rFonts w:hint="eastAsia" w:ascii="宋体" w:hAnsi="宋体" w:cs="宋体"/>
          <w:kern w:val="0"/>
          <w:szCs w:val="21"/>
        </w:rPr>
        <w:t>   </w:t>
      </w:r>
      <w:r>
        <w:rPr>
          <w:rFonts w:hint="eastAsia" w:ascii="宋体" w:hAnsi="宋体" w:cs="宋体"/>
          <w:szCs w:val="21"/>
        </w:rPr>
        <w:t>）</w:t>
      </w:r>
    </w:p>
    <w:p>
      <w:pPr>
        <w:jc w:val="left"/>
        <w:textAlignment w:val="center"/>
        <w:rPr>
          <w:rFonts w:ascii="宋体" w:hAnsi="宋体" w:cs="宋体"/>
          <w:szCs w:val="21"/>
        </w:rPr>
      </w:pPr>
      <w:r>
        <w:rPr>
          <w:rFonts w:hint="eastAsia" w:ascii="宋体" w:hAnsi="宋体" w:cs="宋体"/>
          <w:szCs w:val="21"/>
        </w:rPr>
        <w:t>①通过再分配保障人民的基本生活需求，保障公平正义</w:t>
      </w:r>
    </w:p>
    <w:p>
      <w:pPr>
        <w:jc w:val="left"/>
        <w:textAlignment w:val="center"/>
        <w:rPr>
          <w:rFonts w:ascii="宋体" w:hAnsi="宋体" w:cs="宋体"/>
          <w:szCs w:val="21"/>
        </w:rPr>
      </w:pPr>
      <w:r>
        <w:rPr>
          <w:rFonts w:hint="eastAsia" w:ascii="宋体" w:hAnsi="宋体" w:cs="宋体"/>
          <w:szCs w:val="21"/>
        </w:rPr>
        <w:t>②发挥市场在资源配置中的决定性作用，丰富养老资源</w:t>
      </w:r>
    </w:p>
    <w:p>
      <w:pPr>
        <w:jc w:val="left"/>
        <w:textAlignment w:val="center"/>
        <w:rPr>
          <w:rFonts w:ascii="宋体" w:hAnsi="宋体" w:cs="宋体"/>
          <w:szCs w:val="21"/>
        </w:rPr>
      </w:pPr>
      <w:r>
        <w:rPr>
          <w:rFonts w:hint="eastAsia" w:ascii="宋体" w:hAnsi="宋体" w:cs="宋体"/>
          <w:szCs w:val="21"/>
        </w:rPr>
        <w:t>③提高资本的利民价值属性，增加老年人的劳动性收入</w:t>
      </w:r>
    </w:p>
    <w:p>
      <w:pPr>
        <w:jc w:val="left"/>
        <w:textAlignment w:val="center"/>
        <w:rPr>
          <w:rFonts w:ascii="宋体" w:hAnsi="宋体" w:cs="宋体"/>
          <w:szCs w:val="21"/>
        </w:rPr>
      </w:pPr>
      <w:r>
        <w:rPr>
          <w:rFonts w:hint="eastAsia" w:ascii="宋体" w:hAnsi="宋体" w:cs="宋体"/>
          <w:szCs w:val="21"/>
        </w:rPr>
        <w:t>④旨在引导居民补充养老金，促进养老金投资增值保值</w:t>
      </w:r>
    </w:p>
    <w:p>
      <w:pPr>
        <w:tabs>
          <w:tab w:val="left" w:pos="2078"/>
          <w:tab w:val="left" w:pos="4156"/>
          <w:tab w:val="left" w:pos="6234"/>
        </w:tabs>
        <w:ind w:left="380"/>
        <w:jc w:val="left"/>
        <w:textAlignment w:val="center"/>
        <w:rPr>
          <w:rFonts w:ascii="宋体" w:hAnsi="宋体" w:cs="宋体"/>
          <w:szCs w:val="21"/>
        </w:rPr>
      </w:pPr>
      <w:r>
        <w:rPr>
          <w:rFonts w:hint="eastAsia" w:ascii="宋体" w:hAnsi="宋体" w:cs="宋体"/>
          <w:szCs w:val="21"/>
        </w:rPr>
        <w:t>A．①③</w:t>
      </w:r>
      <w:r>
        <w:rPr>
          <w:rFonts w:hint="eastAsia" w:ascii="宋体" w:hAnsi="宋体" w:cs="宋体"/>
          <w:szCs w:val="21"/>
        </w:rPr>
        <w:tab/>
      </w:r>
      <w:r>
        <w:rPr>
          <w:rFonts w:hint="eastAsia" w:ascii="宋体" w:hAnsi="宋体" w:cs="宋体"/>
          <w:szCs w:val="21"/>
        </w:rPr>
        <w:t>B．①④</w:t>
      </w:r>
      <w:r>
        <w:rPr>
          <w:rFonts w:hint="eastAsia" w:ascii="宋体" w:hAnsi="宋体" w:cs="宋体"/>
          <w:szCs w:val="21"/>
        </w:rPr>
        <w:tab/>
      </w:r>
      <w:r>
        <w:rPr>
          <w:rFonts w:hint="eastAsia" w:ascii="宋体" w:hAnsi="宋体" w:cs="宋体"/>
          <w:szCs w:val="21"/>
        </w:rPr>
        <w:t>C．②③</w:t>
      </w:r>
      <w:r>
        <w:rPr>
          <w:rFonts w:hint="eastAsia" w:ascii="宋体" w:hAnsi="宋体" w:cs="宋体"/>
          <w:szCs w:val="21"/>
        </w:rPr>
        <w:tab/>
      </w:r>
      <w:r>
        <w:rPr>
          <w:rFonts w:hint="eastAsia" w:ascii="宋体" w:hAnsi="宋体" w:cs="宋体"/>
          <w:szCs w:val="21"/>
        </w:rPr>
        <w:t>D．②④</w:t>
      </w:r>
    </w:p>
    <w:p>
      <w:pPr>
        <w:jc w:val="left"/>
        <w:textAlignment w:val="center"/>
        <w:rPr>
          <w:rFonts w:ascii="宋体" w:hAnsi="宋体" w:cs="宋体"/>
          <w:szCs w:val="21"/>
        </w:rPr>
      </w:pPr>
      <w:r>
        <w:rPr>
          <w:rFonts w:hint="eastAsia" w:ascii="宋体" w:hAnsi="宋体" w:cs="宋体"/>
          <w:szCs w:val="21"/>
        </w:rPr>
        <w:t>2．作为新时代全面展示中国特色社会主义制度优越性的重要窗口，浙江在共同富裕示范区建设中，率先提出打造“浙里康养”金名片，并以社会保障、养老服务、健康支撑三大体系为抓手加快推进康养体系建设，为全国提供浙江样板。打造“浙里康养”金名片（</w:t>
      </w:r>
      <w:r>
        <w:rPr>
          <w:rFonts w:hint="eastAsia" w:ascii="宋体" w:hAnsi="宋体" w:cs="宋体"/>
          <w:kern w:val="0"/>
          <w:szCs w:val="21"/>
        </w:rPr>
        <w:t>   </w:t>
      </w:r>
      <w:r>
        <w:rPr>
          <w:rFonts w:hint="eastAsia" w:ascii="宋体" w:hAnsi="宋体" w:cs="宋体"/>
          <w:szCs w:val="21"/>
        </w:rPr>
        <w:t>）</w:t>
      </w:r>
    </w:p>
    <w:p>
      <w:pPr>
        <w:tabs>
          <w:tab w:val="left" w:pos="2078"/>
          <w:tab w:val="left" w:pos="4156"/>
          <w:tab w:val="left" w:pos="6234"/>
        </w:tabs>
        <w:jc w:val="left"/>
        <w:textAlignment w:val="center"/>
        <w:rPr>
          <w:rFonts w:ascii="宋体" w:hAnsi="宋体" w:cs="宋体"/>
          <w:szCs w:val="21"/>
        </w:rPr>
      </w:pPr>
      <w:r>
        <w:rPr>
          <w:rFonts w:hint="eastAsia" w:ascii="宋体" w:hAnsi="宋体" w:cs="宋体"/>
          <w:szCs w:val="21"/>
        </w:rPr>
        <w:t>①坚持社会保障与经济发展状况相适应，夯实养老保障服务基础</w:t>
      </w:r>
    </w:p>
    <w:p>
      <w:pPr>
        <w:tabs>
          <w:tab w:val="left" w:pos="2078"/>
          <w:tab w:val="left" w:pos="4156"/>
          <w:tab w:val="left" w:pos="6234"/>
        </w:tabs>
        <w:jc w:val="left"/>
        <w:textAlignment w:val="center"/>
        <w:rPr>
          <w:rFonts w:ascii="宋体" w:hAnsi="宋体" w:cs="宋体"/>
          <w:szCs w:val="21"/>
        </w:rPr>
      </w:pPr>
      <w:r>
        <w:rPr>
          <w:rFonts w:hint="eastAsia" w:ascii="宋体" w:hAnsi="宋体" w:cs="宋体"/>
          <w:szCs w:val="21"/>
        </w:rPr>
        <w:t>②通过发挥第三次分配作用，构建多层次养老保障体系</w:t>
      </w:r>
    </w:p>
    <w:p>
      <w:pPr>
        <w:tabs>
          <w:tab w:val="left" w:pos="2078"/>
          <w:tab w:val="left" w:pos="4156"/>
          <w:tab w:val="left" w:pos="6234"/>
        </w:tabs>
        <w:jc w:val="left"/>
        <w:textAlignment w:val="center"/>
        <w:rPr>
          <w:rFonts w:ascii="宋体" w:hAnsi="宋体" w:cs="宋体"/>
          <w:szCs w:val="21"/>
        </w:rPr>
      </w:pPr>
      <w:r>
        <w:rPr>
          <w:rFonts w:hint="eastAsia" w:ascii="宋体" w:hAnsi="宋体" w:cs="宋体"/>
          <w:szCs w:val="21"/>
        </w:rPr>
        <w:t>③规范收入分配秩序，鼓励勤劳致富，逐步实现共同富裕</w:t>
      </w:r>
    </w:p>
    <w:p>
      <w:pPr>
        <w:tabs>
          <w:tab w:val="left" w:pos="2078"/>
          <w:tab w:val="left" w:pos="4156"/>
          <w:tab w:val="left" w:pos="6234"/>
        </w:tabs>
        <w:jc w:val="left"/>
        <w:textAlignment w:val="center"/>
        <w:rPr>
          <w:rFonts w:ascii="宋体" w:hAnsi="宋体" w:cs="宋体"/>
          <w:szCs w:val="21"/>
        </w:rPr>
      </w:pPr>
      <w:r>
        <w:rPr>
          <w:rFonts w:hint="eastAsia" w:ascii="宋体" w:hAnsi="宋体" w:cs="宋体"/>
          <w:szCs w:val="21"/>
        </w:rPr>
        <w:t>④坚持以人民为中心的发展思想，贯彻共享发展新理念</w:t>
      </w:r>
    </w:p>
    <w:p>
      <w:pPr>
        <w:tabs>
          <w:tab w:val="left" w:pos="2078"/>
          <w:tab w:val="left" w:pos="4156"/>
          <w:tab w:val="left" w:pos="6234"/>
        </w:tabs>
        <w:ind w:left="380"/>
        <w:jc w:val="left"/>
        <w:textAlignment w:val="center"/>
        <w:rPr>
          <w:rFonts w:ascii="宋体" w:hAnsi="宋体" w:cs="宋体"/>
          <w:szCs w:val="21"/>
        </w:rPr>
      </w:pPr>
      <w:r>
        <w:rPr>
          <w:rFonts w:hint="eastAsia" w:ascii="宋体" w:hAnsi="宋体" w:cs="宋体"/>
          <w:szCs w:val="21"/>
        </w:rPr>
        <w:t>A．①②</w:t>
      </w:r>
      <w:r>
        <w:rPr>
          <w:rFonts w:hint="eastAsia" w:ascii="宋体" w:hAnsi="宋体" w:cs="宋体"/>
          <w:szCs w:val="21"/>
        </w:rPr>
        <w:tab/>
      </w:r>
      <w:r>
        <w:rPr>
          <w:rFonts w:hint="eastAsia" w:ascii="宋体" w:hAnsi="宋体" w:cs="宋体"/>
          <w:szCs w:val="21"/>
        </w:rPr>
        <w:t>B．①④</w:t>
      </w:r>
      <w:r>
        <w:rPr>
          <w:rFonts w:hint="eastAsia" w:ascii="宋体" w:hAnsi="宋体" w:cs="宋体"/>
          <w:szCs w:val="21"/>
        </w:rPr>
        <w:tab/>
      </w:r>
      <w:r>
        <w:rPr>
          <w:rFonts w:hint="eastAsia" w:ascii="宋体" w:hAnsi="宋体" w:cs="宋体"/>
          <w:szCs w:val="21"/>
        </w:rPr>
        <w:t>C．②③</w:t>
      </w:r>
      <w:r>
        <w:rPr>
          <w:rFonts w:hint="eastAsia" w:ascii="宋体" w:hAnsi="宋体" w:cs="宋体"/>
          <w:szCs w:val="21"/>
        </w:rPr>
        <w:tab/>
      </w:r>
      <w:r>
        <w:rPr>
          <w:rFonts w:hint="eastAsia" w:ascii="宋体" w:hAnsi="宋体" w:cs="宋体"/>
          <w:szCs w:val="21"/>
        </w:rPr>
        <w:t>D．③④</w:t>
      </w:r>
    </w:p>
    <w:p>
      <w:pPr>
        <w:jc w:val="left"/>
        <w:textAlignment w:val="center"/>
        <w:rPr>
          <w:rFonts w:ascii="宋体" w:hAnsi="宋体" w:cs="宋体"/>
          <w:szCs w:val="21"/>
        </w:rPr>
      </w:pPr>
      <w:r>
        <w:rPr>
          <w:rFonts w:hint="eastAsia" w:ascii="宋体" w:hAnsi="宋体" w:cs="宋体"/>
          <w:szCs w:val="21"/>
        </w:rPr>
        <w:t>3．习近平总书记指出，“保障和改善民生没有终点，只有连续不断的新起点”。这一论述为“十四五”时期我国社会保障事业的发展提供了根本遵循，折射了我们党“以人民为中心”的发展思想。正是基于此，“十四五”规划纲要将社会保障体系与公共服务、就业、收入分配、弱势群体权益、基层社会治理等内容统一起来，赋予社会保障增进民生福祉的重要功能。社会保障（</w:t>
      </w:r>
      <w:r>
        <w:rPr>
          <w:rFonts w:hint="eastAsia" w:ascii="宋体" w:hAnsi="宋体" w:cs="宋体"/>
          <w:kern w:val="0"/>
          <w:szCs w:val="21"/>
        </w:rPr>
        <w:t>   </w:t>
      </w:r>
      <w:r>
        <w:rPr>
          <w:rFonts w:hint="eastAsia" w:ascii="宋体" w:hAnsi="宋体" w:cs="宋体"/>
          <w:szCs w:val="21"/>
        </w:rPr>
        <w:t>）</w:t>
      </w:r>
    </w:p>
    <w:p>
      <w:pPr>
        <w:jc w:val="left"/>
        <w:textAlignment w:val="center"/>
        <w:rPr>
          <w:rFonts w:ascii="宋体" w:hAnsi="宋体" w:cs="宋体"/>
          <w:szCs w:val="21"/>
        </w:rPr>
      </w:pPr>
      <w:r>
        <w:rPr>
          <w:rFonts w:hint="eastAsia" w:ascii="宋体" w:hAnsi="宋体" w:cs="宋体"/>
          <w:szCs w:val="21"/>
        </w:rPr>
        <w:t>①能防范和化解社会成员的生存危机，保障基本生活  </w:t>
      </w:r>
    </w:p>
    <w:p>
      <w:pPr>
        <w:jc w:val="left"/>
        <w:textAlignment w:val="center"/>
        <w:rPr>
          <w:rFonts w:ascii="宋体" w:hAnsi="宋体" w:cs="宋体"/>
          <w:szCs w:val="21"/>
        </w:rPr>
      </w:pPr>
      <w:r>
        <w:rPr>
          <w:rFonts w:hint="eastAsia" w:ascii="宋体" w:hAnsi="宋体" w:cs="宋体"/>
          <w:szCs w:val="21"/>
        </w:rPr>
        <w:t>②是基于政府财政支持，构建维护人民权益的安全网  </w:t>
      </w:r>
    </w:p>
    <w:p>
      <w:pPr>
        <w:jc w:val="left"/>
        <w:textAlignment w:val="center"/>
        <w:rPr>
          <w:rFonts w:ascii="宋体" w:hAnsi="宋体" w:cs="宋体"/>
          <w:szCs w:val="21"/>
        </w:rPr>
      </w:pPr>
      <w:r>
        <w:rPr>
          <w:rFonts w:hint="eastAsia" w:ascii="宋体" w:hAnsi="宋体" w:cs="宋体"/>
          <w:szCs w:val="21"/>
        </w:rPr>
        <w:t>③通过国民收入初次分配，调节不同社会群体的利益  </w:t>
      </w:r>
    </w:p>
    <w:p>
      <w:pPr>
        <w:jc w:val="left"/>
        <w:textAlignment w:val="center"/>
        <w:rPr>
          <w:rFonts w:ascii="宋体" w:hAnsi="宋体" w:cs="宋体"/>
          <w:szCs w:val="21"/>
        </w:rPr>
      </w:pPr>
      <w:r>
        <w:rPr>
          <w:rFonts w:hint="eastAsia" w:ascii="宋体" w:hAnsi="宋体" w:cs="宋体"/>
          <w:szCs w:val="21"/>
        </w:rPr>
        <w:t>④通过风险分摊和责任共担，充分发挥社会互助共济功能</w:t>
      </w:r>
    </w:p>
    <w:p>
      <w:pPr>
        <w:tabs>
          <w:tab w:val="left" w:pos="2078"/>
          <w:tab w:val="left" w:pos="4156"/>
          <w:tab w:val="left" w:pos="6234"/>
        </w:tabs>
        <w:ind w:left="380"/>
        <w:jc w:val="left"/>
        <w:textAlignment w:val="center"/>
        <w:rPr>
          <w:rFonts w:ascii="宋体" w:hAnsi="宋体" w:cs="宋体"/>
          <w:szCs w:val="21"/>
        </w:rPr>
      </w:pPr>
      <w:r>
        <w:rPr>
          <w:rFonts w:hint="eastAsia" w:ascii="宋体" w:hAnsi="宋体" w:cs="宋体"/>
          <w:szCs w:val="21"/>
        </w:rPr>
        <w:t>A．①②</w:t>
      </w:r>
      <w:r>
        <w:rPr>
          <w:rFonts w:hint="eastAsia" w:ascii="宋体" w:hAnsi="宋体" w:cs="宋体"/>
          <w:szCs w:val="21"/>
        </w:rPr>
        <w:tab/>
      </w:r>
      <w:r>
        <w:rPr>
          <w:rFonts w:hint="eastAsia" w:ascii="宋体" w:hAnsi="宋体" w:cs="宋体"/>
          <w:szCs w:val="21"/>
        </w:rPr>
        <w:t>B．①④</w:t>
      </w:r>
      <w:r>
        <w:rPr>
          <w:rFonts w:hint="eastAsia" w:ascii="宋体" w:hAnsi="宋体" w:cs="宋体"/>
          <w:szCs w:val="21"/>
        </w:rPr>
        <w:tab/>
      </w:r>
      <w:r>
        <w:rPr>
          <w:rFonts w:hint="eastAsia" w:ascii="宋体" w:hAnsi="宋体" w:cs="宋体"/>
          <w:szCs w:val="21"/>
        </w:rPr>
        <w:t>C．②③</w:t>
      </w:r>
      <w:r>
        <w:rPr>
          <w:rFonts w:hint="eastAsia" w:ascii="宋体" w:hAnsi="宋体" w:cs="宋体"/>
          <w:szCs w:val="21"/>
        </w:rPr>
        <w:tab/>
      </w:r>
      <w:r>
        <w:rPr>
          <w:rFonts w:hint="eastAsia" w:ascii="宋体" w:hAnsi="宋体" w:cs="宋体"/>
          <w:szCs w:val="21"/>
        </w:rPr>
        <w:t>D．③④</w:t>
      </w:r>
    </w:p>
    <w:p>
      <w:pPr>
        <w:jc w:val="left"/>
        <w:textAlignment w:val="center"/>
        <w:rPr>
          <w:rFonts w:ascii="宋体" w:hAnsi="宋体" w:cs="宋体"/>
          <w:szCs w:val="21"/>
        </w:rPr>
      </w:pPr>
      <w:r>
        <w:rPr>
          <w:rFonts w:hint="eastAsia" w:ascii="宋体" w:hAnsi="宋体" w:cs="宋体"/>
          <w:szCs w:val="21"/>
        </w:rPr>
        <w:t>4．《广东省“民生十大工程”五年行动计划(2023—2027年)》明确提出，通过实施居家社区养老服务扩面提质行动、机构养老服务提质增效行动、养老服务有效供给能力提升行动、医养康养深度结合行动等四大重点任务，基本建成覆盖全体老年人、权责清晰、保障适度、可持续的基本养老服务体系。该行动计划旨在（</w:t>
      </w:r>
      <w:r>
        <w:rPr>
          <w:rFonts w:hint="eastAsia" w:ascii="宋体" w:hAnsi="宋体" w:cs="宋体"/>
          <w:kern w:val="0"/>
          <w:szCs w:val="21"/>
        </w:rPr>
        <w:t>   </w:t>
      </w:r>
      <w:r>
        <w:rPr>
          <w:rFonts w:hint="eastAsia" w:ascii="宋体" w:hAnsi="宋体" w:cs="宋体"/>
          <w:szCs w:val="21"/>
        </w:rPr>
        <w:t>）</w:t>
      </w:r>
    </w:p>
    <w:p>
      <w:pPr>
        <w:jc w:val="left"/>
        <w:textAlignment w:val="center"/>
        <w:rPr>
          <w:rFonts w:ascii="宋体" w:hAnsi="宋体" w:cs="宋体"/>
          <w:szCs w:val="21"/>
        </w:rPr>
      </w:pPr>
      <w:r>
        <w:rPr>
          <w:rFonts w:hint="eastAsia" w:ascii="宋体" w:hAnsi="宋体" w:cs="宋体"/>
          <w:szCs w:val="21"/>
        </w:rPr>
        <w:t>①扩大优质养老服务供给，实现发展成果由人民共享②完善社会保障体系，实现基本养老服务城乡平均化</w:t>
      </w:r>
    </w:p>
    <w:p>
      <w:pPr>
        <w:jc w:val="left"/>
        <w:textAlignment w:val="center"/>
        <w:rPr>
          <w:rFonts w:ascii="宋体" w:hAnsi="宋体" w:cs="宋体"/>
          <w:szCs w:val="21"/>
        </w:rPr>
      </w:pPr>
      <w:r>
        <w:rPr>
          <w:rFonts w:hint="eastAsia" w:ascii="宋体" w:hAnsi="宋体" w:cs="宋体"/>
          <w:szCs w:val="21"/>
        </w:rPr>
        <w:t>③提高养老服务水平，保障公民享受相应的社保权益④健全再分配调节机制，缩小城乡之间收入分配差距</w:t>
      </w:r>
    </w:p>
    <w:p>
      <w:pPr>
        <w:tabs>
          <w:tab w:val="left" w:pos="2078"/>
          <w:tab w:val="left" w:pos="4156"/>
          <w:tab w:val="left" w:pos="6234"/>
        </w:tabs>
        <w:ind w:left="380"/>
        <w:jc w:val="left"/>
        <w:textAlignment w:val="center"/>
        <w:rPr>
          <w:rFonts w:ascii="宋体" w:hAnsi="宋体" w:cs="宋体"/>
          <w:szCs w:val="21"/>
        </w:rPr>
      </w:pPr>
      <w:r>
        <w:rPr>
          <w:rFonts w:hint="eastAsia" w:ascii="宋体" w:hAnsi="宋体" w:cs="宋体"/>
          <w:szCs w:val="21"/>
        </w:rPr>
        <w:t>A．①③</w:t>
      </w:r>
      <w:r>
        <w:rPr>
          <w:rFonts w:hint="eastAsia" w:ascii="宋体" w:hAnsi="宋体" w:cs="宋体"/>
          <w:szCs w:val="21"/>
        </w:rPr>
        <w:tab/>
      </w:r>
      <w:r>
        <w:rPr>
          <w:rFonts w:hint="eastAsia" w:ascii="宋体" w:hAnsi="宋体" w:cs="宋体"/>
          <w:szCs w:val="21"/>
        </w:rPr>
        <w:t>B．①④</w:t>
      </w:r>
      <w:r>
        <w:rPr>
          <w:rFonts w:hint="eastAsia" w:ascii="宋体" w:hAnsi="宋体" w:cs="宋体"/>
          <w:szCs w:val="21"/>
        </w:rPr>
        <w:tab/>
      </w:r>
      <w:r>
        <w:rPr>
          <w:rFonts w:hint="eastAsia" w:ascii="宋体" w:hAnsi="宋体" w:cs="宋体"/>
          <w:szCs w:val="21"/>
        </w:rPr>
        <w:t>C．②③</w:t>
      </w:r>
      <w:r>
        <w:rPr>
          <w:rFonts w:hint="eastAsia" w:ascii="宋体" w:hAnsi="宋体" w:cs="宋体"/>
          <w:szCs w:val="21"/>
        </w:rPr>
        <w:tab/>
      </w:r>
      <w:r>
        <w:rPr>
          <w:rFonts w:hint="eastAsia" w:ascii="宋体" w:hAnsi="宋体" w:cs="宋体"/>
          <w:szCs w:val="21"/>
        </w:rPr>
        <w:t>D．②④</w:t>
      </w:r>
    </w:p>
    <w:p>
      <w:pPr>
        <w:jc w:val="left"/>
        <w:textAlignment w:val="center"/>
        <w:rPr>
          <w:rFonts w:ascii="宋体" w:hAnsi="宋体" w:cs="宋体"/>
          <w:szCs w:val="21"/>
        </w:rPr>
      </w:pPr>
      <w:r>
        <w:rPr>
          <w:rFonts w:hint="eastAsia" w:ascii="宋体" w:hAnsi="宋体" w:cs="宋体"/>
          <w:szCs w:val="21"/>
        </w:rPr>
        <w:t>5．2024年1月30日，云南省社会保险局召开2024年云南省人力资源社会保障工作会。云南省社会保险局负责人介绍，云南社会保险制度不断完善，基金运行总体平稳，基本实现法定参保人员全覆盖。由此可见（</w:t>
      </w:r>
      <w:r>
        <w:rPr>
          <w:rFonts w:hint="eastAsia" w:ascii="宋体" w:hAnsi="宋体" w:cs="宋体"/>
          <w:kern w:val="0"/>
          <w:szCs w:val="21"/>
        </w:rPr>
        <w:t>   </w:t>
      </w:r>
      <w:r>
        <w:rPr>
          <w:rFonts w:hint="eastAsia" w:ascii="宋体" w:hAnsi="宋体" w:cs="宋体"/>
          <w:szCs w:val="21"/>
        </w:rPr>
        <w:t>）</w:t>
      </w:r>
    </w:p>
    <w:p>
      <w:pPr>
        <w:tabs>
          <w:tab w:val="left" w:pos="2078"/>
          <w:tab w:val="left" w:pos="4156"/>
          <w:tab w:val="left" w:pos="6234"/>
        </w:tabs>
        <w:jc w:val="left"/>
        <w:textAlignment w:val="center"/>
        <w:rPr>
          <w:rFonts w:ascii="宋体" w:hAnsi="宋体" w:cs="宋体"/>
          <w:szCs w:val="21"/>
        </w:rPr>
      </w:pPr>
      <w:r>
        <w:rPr>
          <w:rFonts w:hint="eastAsia" w:ascii="宋体" w:hAnsi="宋体" w:cs="宋体"/>
          <w:szCs w:val="21"/>
        </w:rPr>
        <w:t>①社会保障坚持应保尽保，努力增进人民福祉②完善社会保障体系既要量力而行，又要尽力而为</w:t>
      </w:r>
    </w:p>
    <w:p>
      <w:pPr>
        <w:tabs>
          <w:tab w:val="left" w:pos="2078"/>
          <w:tab w:val="left" w:pos="4156"/>
          <w:tab w:val="left" w:pos="6234"/>
        </w:tabs>
        <w:jc w:val="left"/>
        <w:textAlignment w:val="center"/>
        <w:rPr>
          <w:rFonts w:ascii="宋体" w:hAnsi="宋体" w:cs="宋体"/>
          <w:szCs w:val="21"/>
        </w:rPr>
      </w:pPr>
      <w:r>
        <w:rPr>
          <w:rFonts w:hint="eastAsia" w:ascii="宋体" w:hAnsi="宋体" w:cs="宋体"/>
          <w:szCs w:val="21"/>
        </w:rPr>
        <w:t>③不断完善社会保险制度，保障居民基本生活权利④完善分配制度，构建三次分配协调配套的制度体系</w:t>
      </w:r>
    </w:p>
    <w:p>
      <w:pPr>
        <w:tabs>
          <w:tab w:val="left" w:pos="2078"/>
          <w:tab w:val="left" w:pos="4156"/>
          <w:tab w:val="left" w:pos="6234"/>
        </w:tabs>
        <w:ind w:left="380"/>
        <w:jc w:val="left"/>
        <w:textAlignment w:val="center"/>
        <w:rPr>
          <w:rFonts w:ascii="宋体" w:hAnsi="宋体" w:cs="宋体"/>
          <w:szCs w:val="21"/>
        </w:rPr>
      </w:pPr>
      <w:r>
        <w:rPr>
          <w:rFonts w:hint="eastAsia" w:ascii="宋体" w:hAnsi="宋体" w:cs="宋体"/>
          <w:szCs w:val="21"/>
        </w:rPr>
        <w:t>A．①②</w:t>
      </w:r>
      <w:r>
        <w:rPr>
          <w:rFonts w:hint="eastAsia" w:ascii="宋体" w:hAnsi="宋体" w:cs="宋体"/>
          <w:szCs w:val="21"/>
        </w:rPr>
        <w:tab/>
      </w:r>
      <w:r>
        <w:rPr>
          <w:rFonts w:hint="eastAsia" w:ascii="宋体" w:hAnsi="宋体" w:cs="宋体"/>
          <w:szCs w:val="21"/>
        </w:rPr>
        <w:t>B．①③</w:t>
      </w:r>
      <w:r>
        <w:rPr>
          <w:rFonts w:hint="eastAsia" w:ascii="宋体" w:hAnsi="宋体" w:cs="宋体"/>
          <w:szCs w:val="21"/>
        </w:rPr>
        <w:tab/>
      </w:r>
      <w:r>
        <w:rPr>
          <w:rFonts w:hint="eastAsia" w:ascii="宋体" w:hAnsi="宋体" w:cs="宋体"/>
          <w:szCs w:val="21"/>
        </w:rPr>
        <w:t>C．②④</w:t>
      </w:r>
      <w:r>
        <w:rPr>
          <w:rFonts w:hint="eastAsia" w:ascii="宋体" w:hAnsi="宋体" w:cs="宋体"/>
          <w:szCs w:val="21"/>
        </w:rPr>
        <w:tab/>
      </w:r>
      <w:r>
        <w:rPr>
          <w:rFonts w:hint="eastAsia" w:ascii="宋体" w:hAnsi="宋体" w:cs="宋体"/>
          <w:szCs w:val="21"/>
        </w:rPr>
        <w:t>D．③④</w:t>
      </w:r>
    </w:p>
    <w:p>
      <w:pPr>
        <w:jc w:val="left"/>
        <w:textAlignment w:val="center"/>
        <w:rPr>
          <w:rFonts w:ascii="宋体" w:hAnsi="宋体" w:cs="宋体"/>
          <w:szCs w:val="21"/>
        </w:rPr>
      </w:pPr>
      <w:r>
        <w:rPr>
          <w:rFonts w:hint="eastAsia" w:ascii="宋体" w:hAnsi="宋体" w:cs="宋体"/>
          <w:szCs w:val="21"/>
        </w:rPr>
        <w:t>6．我国基本养老、失业、工伤3项社会保险参保人数逐年增加，基本实现应保尽保。更公平、更可靠、更可持续的社会保障体系，正托举着人民群众稳稳的幸福。关于社会保险，以下说法正确的是（</w:t>
      </w:r>
      <w:r>
        <w:rPr>
          <w:rFonts w:hint="eastAsia" w:ascii="宋体" w:hAnsi="宋体" w:cs="宋体"/>
          <w:kern w:val="0"/>
          <w:szCs w:val="21"/>
        </w:rPr>
        <w:t>   </w:t>
      </w:r>
      <w:r>
        <w:rPr>
          <w:rFonts w:hint="eastAsia" w:ascii="宋体" w:hAnsi="宋体" w:cs="宋体"/>
          <w:szCs w:val="21"/>
        </w:rPr>
        <w:t>）</w:t>
      </w:r>
    </w:p>
    <w:p>
      <w:pPr>
        <w:jc w:val="left"/>
        <w:textAlignment w:val="center"/>
        <w:rPr>
          <w:rFonts w:ascii="宋体" w:hAnsi="宋体" w:cs="宋体"/>
          <w:szCs w:val="21"/>
        </w:rPr>
      </w:pPr>
      <w:r>
        <w:rPr>
          <w:rFonts w:hint="eastAsia" w:ascii="宋体" w:hAnsi="宋体" w:cs="宋体"/>
          <w:szCs w:val="21"/>
        </w:rPr>
        <w:t>①是由保险公司推销的自愿的市场行为</w:t>
      </w:r>
    </w:p>
    <w:p>
      <w:pPr>
        <w:jc w:val="left"/>
        <w:textAlignment w:val="center"/>
        <w:rPr>
          <w:rFonts w:ascii="宋体" w:hAnsi="宋体" w:cs="宋体"/>
          <w:szCs w:val="21"/>
        </w:rPr>
      </w:pPr>
      <w:r>
        <w:rPr>
          <w:rFonts w:hint="eastAsia" w:ascii="宋体" w:hAnsi="宋体" w:cs="宋体"/>
          <w:szCs w:val="21"/>
        </w:rPr>
        <w:t>②充分发挥社会互助功能，缩小贫富差距，促进社会和谐发展</w:t>
      </w:r>
    </w:p>
    <w:p>
      <w:pPr>
        <w:jc w:val="left"/>
        <w:textAlignment w:val="center"/>
        <w:rPr>
          <w:rFonts w:ascii="宋体" w:hAnsi="宋体" w:cs="宋体"/>
          <w:szCs w:val="21"/>
        </w:rPr>
      </w:pPr>
      <w:r>
        <w:rPr>
          <w:rFonts w:hint="eastAsia" w:ascii="宋体" w:hAnsi="宋体" w:cs="宋体"/>
          <w:szCs w:val="21"/>
        </w:rPr>
        <w:t>③是最高层次的社会保障，不断改善和提高社会成员生活</w:t>
      </w:r>
    </w:p>
    <w:p>
      <w:pPr>
        <w:jc w:val="left"/>
        <w:textAlignment w:val="center"/>
        <w:rPr>
          <w:rFonts w:ascii="宋体" w:hAnsi="宋体" w:cs="宋体"/>
          <w:szCs w:val="21"/>
        </w:rPr>
      </w:pPr>
      <w:r>
        <w:rPr>
          <w:rFonts w:hint="eastAsia" w:ascii="宋体" w:hAnsi="宋体" w:cs="宋体"/>
          <w:szCs w:val="21"/>
        </w:rPr>
        <w:t>④是我国社会保障体系的核心，通过政府、单位、个人共同筹集资金</w:t>
      </w:r>
    </w:p>
    <w:p>
      <w:pPr>
        <w:tabs>
          <w:tab w:val="left" w:pos="2078"/>
          <w:tab w:val="left" w:pos="4156"/>
          <w:tab w:val="left" w:pos="6234"/>
        </w:tabs>
        <w:ind w:left="380"/>
        <w:jc w:val="left"/>
        <w:textAlignment w:val="center"/>
        <w:rPr>
          <w:rFonts w:ascii="宋体" w:hAnsi="宋体" w:cs="宋体"/>
          <w:szCs w:val="21"/>
        </w:rPr>
      </w:pPr>
      <w:r>
        <w:rPr>
          <w:rFonts w:hint="eastAsia" w:ascii="宋体" w:hAnsi="宋体" w:cs="宋体"/>
          <w:szCs w:val="21"/>
        </w:rPr>
        <w:t>A．①②</w:t>
      </w:r>
      <w:r>
        <w:rPr>
          <w:rFonts w:hint="eastAsia" w:ascii="宋体" w:hAnsi="宋体" w:cs="宋体"/>
          <w:szCs w:val="21"/>
        </w:rPr>
        <w:tab/>
      </w:r>
      <w:r>
        <w:rPr>
          <w:rFonts w:hint="eastAsia" w:ascii="宋体" w:hAnsi="宋体" w:cs="宋体"/>
          <w:szCs w:val="21"/>
        </w:rPr>
        <w:t>B．①③</w:t>
      </w:r>
      <w:r>
        <w:rPr>
          <w:rFonts w:hint="eastAsia" w:ascii="宋体" w:hAnsi="宋体" w:cs="宋体"/>
          <w:szCs w:val="21"/>
        </w:rPr>
        <w:tab/>
      </w:r>
      <w:r>
        <w:rPr>
          <w:rFonts w:hint="eastAsia" w:ascii="宋体" w:hAnsi="宋体" w:cs="宋体"/>
          <w:szCs w:val="21"/>
        </w:rPr>
        <w:t>C．②④</w:t>
      </w:r>
      <w:r>
        <w:rPr>
          <w:rFonts w:hint="eastAsia" w:ascii="宋体" w:hAnsi="宋体" w:cs="宋体"/>
          <w:szCs w:val="21"/>
        </w:rPr>
        <w:tab/>
      </w:r>
      <w:r>
        <w:rPr>
          <w:rFonts w:hint="eastAsia" w:ascii="宋体" w:hAnsi="宋体" w:cs="宋体"/>
          <w:szCs w:val="21"/>
        </w:rPr>
        <w:t>D．③④</w:t>
      </w:r>
    </w:p>
    <w:p>
      <w:pPr>
        <w:jc w:val="left"/>
        <w:textAlignment w:val="center"/>
        <w:rPr>
          <w:rFonts w:ascii="宋体" w:hAnsi="宋体" w:cs="宋体"/>
          <w:szCs w:val="21"/>
        </w:rPr>
      </w:pPr>
      <w:r>
        <w:rPr>
          <w:rFonts w:hint="eastAsia" w:ascii="宋体" w:hAnsi="宋体" w:cs="宋体"/>
          <w:szCs w:val="21"/>
        </w:rPr>
        <w:t>7．2024年3月，国家医保局等五部门发布的《关于开展儿童参加基本医疗保险专项行动的通知》指出，要求加强部门联动，建立沟通协作机制，切实提高儿童参保率。力争到2024年底，80%以上新生儿在出生当年参保；到“十四五”期末，儿童参保率稳中有升。此举（</w:t>
      </w:r>
      <w:r>
        <w:rPr>
          <w:rFonts w:hint="eastAsia" w:ascii="宋体" w:hAnsi="宋体" w:cs="宋体"/>
          <w:kern w:val="0"/>
          <w:szCs w:val="21"/>
        </w:rPr>
        <w:t>   </w:t>
      </w:r>
      <w:r>
        <w:rPr>
          <w:rFonts w:hint="eastAsia" w:ascii="宋体" w:hAnsi="宋体" w:cs="宋体"/>
          <w:szCs w:val="21"/>
        </w:rPr>
        <w:t>）</w:t>
      </w:r>
    </w:p>
    <w:p>
      <w:pPr>
        <w:jc w:val="left"/>
        <w:textAlignment w:val="center"/>
        <w:rPr>
          <w:rFonts w:ascii="宋体" w:hAnsi="宋体" w:cs="宋体"/>
          <w:szCs w:val="21"/>
        </w:rPr>
      </w:pPr>
      <w:r>
        <w:rPr>
          <w:rFonts w:hint="eastAsia" w:ascii="宋体" w:hAnsi="宋体" w:cs="宋体"/>
          <w:szCs w:val="21"/>
        </w:rPr>
        <w:t>①为保障儿童健康权益发挥基础性、兜底性作用②是保障我国儿童生存权利的“最后一道防线”</w:t>
      </w:r>
    </w:p>
    <w:p>
      <w:pPr>
        <w:jc w:val="left"/>
        <w:textAlignment w:val="center"/>
        <w:rPr>
          <w:rFonts w:ascii="宋体" w:hAnsi="宋体" w:cs="宋体"/>
          <w:szCs w:val="21"/>
        </w:rPr>
      </w:pPr>
      <w:r>
        <w:rPr>
          <w:rFonts w:hint="eastAsia" w:ascii="宋体" w:hAnsi="宋体" w:cs="宋体"/>
          <w:szCs w:val="21"/>
        </w:rPr>
        <w:t>③完善社会保障体系，构建没有漏洞的“安全网”④提高儿童参保率，满足儿童较高层次保险需求</w:t>
      </w:r>
    </w:p>
    <w:p>
      <w:pPr>
        <w:tabs>
          <w:tab w:val="left" w:pos="2078"/>
          <w:tab w:val="left" w:pos="4156"/>
          <w:tab w:val="left" w:pos="6234"/>
        </w:tabs>
        <w:ind w:left="380"/>
        <w:jc w:val="left"/>
        <w:textAlignment w:val="center"/>
        <w:rPr>
          <w:rFonts w:ascii="宋体" w:hAnsi="宋体" w:cs="宋体"/>
          <w:szCs w:val="21"/>
        </w:rPr>
      </w:pPr>
      <w:r>
        <w:rPr>
          <w:rFonts w:hint="eastAsia" w:ascii="宋体" w:hAnsi="宋体" w:cs="宋体"/>
          <w:szCs w:val="21"/>
        </w:rPr>
        <w:t>A．①②</w:t>
      </w:r>
      <w:r>
        <w:rPr>
          <w:rFonts w:hint="eastAsia" w:ascii="宋体" w:hAnsi="宋体" w:cs="宋体"/>
          <w:szCs w:val="21"/>
        </w:rPr>
        <w:tab/>
      </w:r>
      <w:r>
        <w:rPr>
          <w:rFonts w:hint="eastAsia" w:ascii="宋体" w:hAnsi="宋体" w:cs="宋体"/>
          <w:szCs w:val="21"/>
        </w:rPr>
        <w:t>B．①③</w:t>
      </w:r>
      <w:r>
        <w:rPr>
          <w:rFonts w:hint="eastAsia" w:ascii="宋体" w:hAnsi="宋体" w:cs="宋体"/>
          <w:szCs w:val="21"/>
        </w:rPr>
        <w:tab/>
      </w:r>
      <w:r>
        <w:rPr>
          <w:rFonts w:hint="eastAsia" w:ascii="宋体" w:hAnsi="宋体" w:cs="宋体"/>
          <w:szCs w:val="21"/>
        </w:rPr>
        <w:t>C．②④</w:t>
      </w:r>
      <w:r>
        <w:rPr>
          <w:rFonts w:hint="eastAsia" w:ascii="宋体" w:hAnsi="宋体" w:cs="宋体"/>
          <w:szCs w:val="21"/>
        </w:rPr>
        <w:tab/>
      </w:r>
      <w:r>
        <w:rPr>
          <w:rFonts w:hint="eastAsia" w:ascii="宋体" w:hAnsi="宋体" w:cs="宋体"/>
          <w:szCs w:val="21"/>
        </w:rPr>
        <w:t>D．③④</w:t>
      </w:r>
    </w:p>
    <w:p>
      <w:pPr>
        <w:jc w:val="left"/>
        <w:textAlignment w:val="center"/>
        <w:rPr>
          <w:rFonts w:ascii="宋体" w:hAnsi="宋体" w:cs="宋体"/>
          <w:szCs w:val="21"/>
        </w:rPr>
      </w:pPr>
      <w:r>
        <w:rPr>
          <w:rFonts w:hint="eastAsia" w:ascii="宋体" w:hAnsi="宋体" w:cs="宋体"/>
          <w:szCs w:val="21"/>
        </w:rPr>
        <w:t>8．新时代，我国基本建成以社会保险为主体，包括社会救助、社会福利、社会优抚等制度在内的世界上规模最大的社会保障体系，为人民创造美好生活奠定了坚实基础，为促进共同富裕创造了有利条件。下面关于社会保障形式的说法正确的是（</w:t>
      </w:r>
      <w:r>
        <w:rPr>
          <w:rFonts w:hint="eastAsia" w:ascii="宋体" w:hAnsi="宋体" w:cs="宋体"/>
          <w:kern w:val="0"/>
          <w:szCs w:val="21"/>
        </w:rPr>
        <w:t>   </w:t>
      </w:r>
      <w:r>
        <w:rPr>
          <w:rFonts w:hint="eastAsia" w:ascii="宋体" w:hAnsi="宋体" w:cs="宋体"/>
          <w:szCs w:val="21"/>
        </w:rPr>
        <w:t>）</w:t>
      </w:r>
    </w:p>
    <w:p>
      <w:pPr>
        <w:jc w:val="left"/>
        <w:textAlignment w:val="center"/>
        <w:rPr>
          <w:rFonts w:ascii="宋体" w:hAnsi="宋体" w:cs="宋体"/>
          <w:szCs w:val="21"/>
        </w:rPr>
      </w:pPr>
      <w:r>
        <w:rPr>
          <w:rFonts w:hint="eastAsia" w:ascii="宋体" w:hAnsi="宋体" w:cs="宋体"/>
          <w:szCs w:val="21"/>
        </w:rPr>
        <w:t>①社会保险是我国社会保障体系的核心</w:t>
      </w:r>
      <w:r>
        <w:rPr>
          <w:rFonts w:hint="eastAsia" w:ascii="宋体" w:hAnsi="宋体" w:cs="宋体"/>
          <w:szCs w:val="21"/>
          <w:lang w:val="en-US" w:eastAsia="zh-CN"/>
        </w:rPr>
        <w:t xml:space="preserve">    </w:t>
      </w:r>
      <w:r>
        <w:rPr>
          <w:rFonts w:hint="eastAsia" w:ascii="宋体" w:hAnsi="宋体" w:cs="宋体"/>
          <w:szCs w:val="21"/>
        </w:rPr>
        <w:t>②社会救助是特殊社会保障形式</w:t>
      </w:r>
    </w:p>
    <w:p>
      <w:pPr>
        <w:jc w:val="left"/>
        <w:textAlignment w:val="center"/>
        <w:rPr>
          <w:rFonts w:ascii="宋体" w:hAnsi="宋体" w:cs="宋体"/>
          <w:szCs w:val="21"/>
        </w:rPr>
      </w:pPr>
      <w:r>
        <w:rPr>
          <w:rFonts w:hint="eastAsia" w:ascii="宋体" w:hAnsi="宋体" w:cs="宋体"/>
          <w:szCs w:val="21"/>
        </w:rPr>
        <w:t>③社会福利是最高层次的社会保障形式</w:t>
      </w:r>
      <w:r>
        <w:rPr>
          <w:rFonts w:hint="eastAsia" w:ascii="宋体" w:hAnsi="宋体" w:cs="宋体"/>
          <w:szCs w:val="21"/>
          <w:lang w:val="en-US" w:eastAsia="zh-CN"/>
        </w:rPr>
        <w:t xml:space="preserve">    </w:t>
      </w:r>
      <w:r>
        <w:rPr>
          <w:rFonts w:hint="eastAsia" w:ascii="宋体" w:hAnsi="宋体" w:cs="宋体"/>
          <w:szCs w:val="21"/>
        </w:rPr>
        <w:t>④社会优抚保障最低的生活水平</w:t>
      </w:r>
    </w:p>
    <w:p>
      <w:pPr>
        <w:tabs>
          <w:tab w:val="left" w:pos="2078"/>
          <w:tab w:val="left" w:pos="4156"/>
          <w:tab w:val="left" w:pos="6234"/>
        </w:tabs>
        <w:ind w:left="380"/>
        <w:jc w:val="left"/>
        <w:textAlignment w:val="center"/>
        <w:rPr>
          <w:rFonts w:ascii="宋体" w:hAnsi="宋体" w:cs="宋体"/>
          <w:szCs w:val="21"/>
        </w:rPr>
      </w:pPr>
      <w:r>
        <w:rPr>
          <w:rFonts w:hint="eastAsia" w:ascii="宋体" w:hAnsi="宋体" w:cs="宋体"/>
          <w:szCs w:val="21"/>
        </w:rPr>
        <w:t>A．①②</w:t>
      </w:r>
      <w:r>
        <w:rPr>
          <w:rFonts w:hint="eastAsia" w:ascii="宋体" w:hAnsi="宋体" w:cs="宋体"/>
          <w:szCs w:val="21"/>
        </w:rPr>
        <w:tab/>
      </w:r>
      <w:r>
        <w:rPr>
          <w:rFonts w:hint="eastAsia" w:ascii="宋体" w:hAnsi="宋体" w:cs="宋体"/>
          <w:szCs w:val="21"/>
        </w:rPr>
        <w:t>B．①③</w:t>
      </w:r>
      <w:r>
        <w:rPr>
          <w:rFonts w:hint="eastAsia" w:ascii="宋体" w:hAnsi="宋体" w:cs="宋体"/>
          <w:szCs w:val="21"/>
        </w:rPr>
        <w:tab/>
      </w:r>
      <w:r>
        <w:rPr>
          <w:rFonts w:hint="eastAsia" w:ascii="宋体" w:hAnsi="宋体" w:cs="宋体"/>
          <w:szCs w:val="21"/>
        </w:rPr>
        <w:t>C．②④</w:t>
      </w:r>
      <w:r>
        <w:rPr>
          <w:rFonts w:hint="eastAsia" w:ascii="宋体" w:hAnsi="宋体" w:cs="宋体"/>
          <w:szCs w:val="21"/>
        </w:rPr>
        <w:tab/>
      </w:r>
      <w:r>
        <w:rPr>
          <w:rFonts w:hint="eastAsia" w:ascii="宋体" w:hAnsi="宋体" w:cs="宋体"/>
          <w:szCs w:val="21"/>
        </w:rPr>
        <w:t>D．③④</w:t>
      </w:r>
    </w:p>
    <w:p>
      <w:pPr>
        <w:jc w:val="left"/>
        <w:textAlignment w:val="center"/>
        <w:rPr>
          <w:rFonts w:ascii="宋体" w:hAnsi="宋体" w:cs="宋体"/>
          <w:szCs w:val="21"/>
        </w:rPr>
      </w:pPr>
      <w:r>
        <w:rPr>
          <w:rFonts w:hint="eastAsia" w:ascii="宋体" w:hAnsi="宋体" w:cs="宋体"/>
          <w:szCs w:val="21"/>
        </w:rPr>
        <w:t>9．按照“十四五”时期全民医疗保障发展主要目标，到2025年，各省（自治区、直辖市）国家和省级高值医用耗材集中带量采购品种达5类以上，推动集中带量采购成为公立医疗机构医药采购的主导模式。此举旨在（</w:t>
      </w:r>
      <w:r>
        <w:rPr>
          <w:rFonts w:hint="eastAsia" w:ascii="宋体" w:hAnsi="宋体" w:cs="宋体"/>
          <w:kern w:val="0"/>
          <w:szCs w:val="21"/>
        </w:rPr>
        <w:t>   </w:t>
      </w:r>
      <w:r>
        <w:rPr>
          <w:rFonts w:hint="eastAsia" w:ascii="宋体" w:hAnsi="宋体" w:cs="宋体"/>
          <w:szCs w:val="21"/>
        </w:rPr>
        <w:t>）</w:t>
      </w:r>
    </w:p>
    <w:p>
      <w:pPr>
        <w:tabs>
          <w:tab w:val="left" w:pos="4156"/>
        </w:tabs>
        <w:ind w:left="380"/>
        <w:jc w:val="left"/>
        <w:textAlignment w:val="center"/>
        <w:rPr>
          <w:rFonts w:ascii="宋体" w:hAnsi="宋体" w:cs="宋体"/>
          <w:szCs w:val="21"/>
        </w:rPr>
      </w:pPr>
      <w:r>
        <w:rPr>
          <w:rFonts w:hint="eastAsia" w:ascii="宋体" w:hAnsi="宋体" w:cs="宋体"/>
          <w:szCs w:val="21"/>
        </w:rPr>
        <w:t>A．帮助困难群体，缩小收入差距</w:t>
      </w:r>
      <w:r>
        <w:rPr>
          <w:rFonts w:hint="eastAsia" w:ascii="宋体" w:hAnsi="宋体" w:cs="宋体"/>
          <w:szCs w:val="21"/>
        </w:rPr>
        <w:tab/>
      </w:r>
      <w:r>
        <w:rPr>
          <w:rFonts w:hint="eastAsia" w:ascii="宋体" w:hAnsi="宋体" w:cs="宋体"/>
          <w:szCs w:val="21"/>
        </w:rPr>
        <w:t>B．做好药品研发，布局好产品管线</w:t>
      </w:r>
    </w:p>
    <w:p>
      <w:pPr>
        <w:tabs>
          <w:tab w:val="left" w:pos="4156"/>
        </w:tabs>
        <w:ind w:left="380"/>
        <w:jc w:val="left"/>
        <w:textAlignment w:val="center"/>
        <w:rPr>
          <w:rFonts w:ascii="宋体" w:hAnsi="宋体" w:cs="宋体"/>
          <w:szCs w:val="21"/>
        </w:rPr>
      </w:pPr>
      <w:r>
        <w:rPr>
          <w:rFonts w:hint="eastAsia" w:ascii="宋体" w:hAnsi="宋体" w:cs="宋体"/>
          <w:szCs w:val="21"/>
        </w:rPr>
        <w:t>C．满足人民群众的基本医疗保障需求</w:t>
      </w:r>
      <w:r>
        <w:rPr>
          <w:rFonts w:hint="eastAsia" w:ascii="宋体" w:hAnsi="宋体" w:cs="宋体"/>
          <w:szCs w:val="21"/>
        </w:rPr>
        <w:tab/>
      </w:r>
      <w:r>
        <w:rPr>
          <w:rFonts w:hint="eastAsia" w:ascii="宋体" w:hAnsi="宋体" w:cs="宋体"/>
          <w:szCs w:val="21"/>
        </w:rPr>
        <w:t>D．完善补偿性的特殊社会保障体系</w:t>
      </w:r>
    </w:p>
    <w:p>
      <w:pPr>
        <w:jc w:val="left"/>
        <w:textAlignment w:val="center"/>
        <w:rPr>
          <w:rFonts w:ascii="宋体" w:hAnsi="宋体" w:cs="宋体"/>
          <w:szCs w:val="21"/>
        </w:rPr>
      </w:pPr>
      <w:r>
        <w:rPr>
          <w:rFonts w:hint="eastAsia" w:ascii="宋体" w:hAnsi="宋体" w:cs="宋体"/>
          <w:szCs w:val="21"/>
        </w:rPr>
        <w:t>10．2023年中央经济工作会议和2024年政府工作报告均明确提出，要大力发展银发经济。发展银发经济是积极应对人口老龄化的客观要求，也是实施扩大内需战略的重要举措，既利当前又惠长远。为满足老年群体多方面需求，促进银发经济高质量发展，企业可以（</w:t>
      </w:r>
      <w:r>
        <w:rPr>
          <w:rFonts w:hint="eastAsia" w:ascii="宋体" w:hAnsi="宋体" w:cs="宋体"/>
          <w:kern w:val="0"/>
          <w:szCs w:val="21"/>
        </w:rPr>
        <w:t>   </w:t>
      </w:r>
      <w:r>
        <w:rPr>
          <w:rFonts w:hint="eastAsia" w:ascii="宋体" w:hAnsi="宋体" w:cs="宋体"/>
          <w:szCs w:val="21"/>
        </w:rPr>
        <w:t>）</w:t>
      </w:r>
    </w:p>
    <w:p>
      <w:pPr>
        <w:jc w:val="left"/>
        <w:textAlignment w:val="center"/>
        <w:rPr>
          <w:rFonts w:ascii="宋体" w:hAnsi="宋体" w:cs="宋体"/>
          <w:szCs w:val="21"/>
        </w:rPr>
      </w:pPr>
      <w:r>
        <w:rPr>
          <w:rFonts w:hint="eastAsia" w:ascii="宋体" w:hAnsi="宋体" w:cs="宋体"/>
          <w:szCs w:val="21"/>
        </w:rPr>
        <w:t>①积极创设老年文旅品牌，扩大市场供给</w:t>
      </w:r>
      <w:r>
        <w:rPr>
          <w:rFonts w:hint="eastAsia" w:ascii="宋体" w:hAnsi="宋体" w:cs="宋体"/>
          <w:szCs w:val="21"/>
          <w:lang w:val="en-US" w:eastAsia="zh-CN"/>
        </w:rPr>
        <w:t xml:space="preserve">    </w:t>
      </w:r>
      <w:r>
        <w:rPr>
          <w:rFonts w:hint="eastAsia" w:ascii="宋体" w:hAnsi="宋体" w:cs="宋体"/>
          <w:szCs w:val="21"/>
        </w:rPr>
        <w:t>②拓展多样医养结合服务，发展民生事业</w:t>
      </w:r>
    </w:p>
    <w:p>
      <w:pPr>
        <w:jc w:val="left"/>
        <w:textAlignment w:val="center"/>
        <w:rPr>
          <w:rFonts w:ascii="宋体" w:hAnsi="宋体" w:cs="宋体"/>
          <w:szCs w:val="21"/>
        </w:rPr>
      </w:pPr>
      <w:r>
        <w:rPr>
          <w:rFonts w:hint="eastAsia" w:ascii="宋体" w:hAnsi="宋体" w:cs="宋体"/>
          <w:szCs w:val="21"/>
        </w:rPr>
        <w:t>③应保尽保完善社保体系，优化发展环境</w:t>
      </w:r>
      <w:r>
        <w:rPr>
          <w:rFonts w:hint="eastAsia" w:ascii="宋体" w:hAnsi="宋体" w:cs="宋体"/>
          <w:szCs w:val="21"/>
          <w:lang w:val="en-US" w:eastAsia="zh-CN"/>
        </w:rPr>
        <w:t xml:space="preserve">    </w:t>
      </w:r>
      <w:r>
        <w:rPr>
          <w:rFonts w:hint="eastAsia" w:ascii="宋体" w:hAnsi="宋体" w:cs="宋体"/>
          <w:szCs w:val="21"/>
        </w:rPr>
        <w:t>④打造智慧健康适老产品，培育新型消费</w:t>
      </w:r>
    </w:p>
    <w:p>
      <w:pPr>
        <w:tabs>
          <w:tab w:val="left" w:pos="2078"/>
          <w:tab w:val="left" w:pos="4156"/>
          <w:tab w:val="left" w:pos="6234"/>
        </w:tabs>
        <w:ind w:left="380"/>
        <w:jc w:val="left"/>
        <w:textAlignment w:val="center"/>
        <w:rPr>
          <w:rFonts w:ascii="宋体" w:hAnsi="宋体" w:cs="宋体"/>
          <w:szCs w:val="21"/>
        </w:rPr>
      </w:pPr>
      <w:r>
        <w:rPr>
          <w:rFonts w:hint="eastAsia" w:ascii="宋体" w:hAnsi="宋体" w:cs="宋体"/>
          <w:szCs w:val="21"/>
        </w:rPr>
        <w:t>A．①③</w:t>
      </w:r>
      <w:r>
        <w:rPr>
          <w:rFonts w:hint="eastAsia" w:ascii="宋体" w:hAnsi="宋体" w:cs="宋体"/>
          <w:szCs w:val="21"/>
        </w:rPr>
        <w:tab/>
      </w:r>
      <w:r>
        <w:rPr>
          <w:rFonts w:hint="eastAsia" w:ascii="宋体" w:hAnsi="宋体" w:cs="宋体"/>
          <w:szCs w:val="21"/>
        </w:rPr>
        <w:t>B．①④</w:t>
      </w:r>
      <w:r>
        <w:rPr>
          <w:rFonts w:hint="eastAsia" w:ascii="宋体" w:hAnsi="宋体" w:cs="宋体"/>
          <w:szCs w:val="21"/>
        </w:rPr>
        <w:tab/>
      </w:r>
      <w:r>
        <w:rPr>
          <w:rFonts w:hint="eastAsia" w:ascii="宋体" w:hAnsi="宋体" w:cs="宋体"/>
          <w:szCs w:val="21"/>
        </w:rPr>
        <w:t>C．②③</w:t>
      </w:r>
      <w:r>
        <w:rPr>
          <w:rFonts w:hint="eastAsia" w:ascii="宋体" w:hAnsi="宋体" w:cs="宋体"/>
          <w:szCs w:val="21"/>
        </w:rPr>
        <w:tab/>
      </w:r>
      <w:r>
        <w:rPr>
          <w:rFonts w:hint="eastAsia" w:ascii="宋体" w:hAnsi="宋体" w:cs="宋体"/>
          <w:szCs w:val="21"/>
        </w:rPr>
        <w:t>D．②④</w:t>
      </w:r>
    </w:p>
    <w:p>
      <w:pPr>
        <w:rPr>
          <w:b/>
          <w:bCs/>
        </w:rPr>
      </w:pPr>
      <w:r>
        <w:rPr>
          <w:rFonts w:hint="eastAsia"/>
          <w:b/>
          <w:bCs/>
        </w:rPr>
        <w:t>【导悟】写下这节课的所得和依旧存在的疑惑</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rPr>
                <w:b/>
                <w:bCs/>
              </w:rPr>
            </w:pPr>
          </w:p>
          <w:p>
            <w:pPr>
              <w:rPr>
                <w:b/>
                <w:bCs/>
              </w:rPr>
            </w:pPr>
          </w:p>
          <w:p>
            <w:pPr>
              <w:rPr>
                <w:b/>
                <w:bCs/>
              </w:rPr>
            </w:pPr>
          </w:p>
          <w:p>
            <w:pPr>
              <w:rPr>
                <w:b/>
                <w:bCs/>
              </w:rPr>
            </w:pPr>
          </w:p>
          <w:p>
            <w:pPr>
              <w:pStyle w:val="2"/>
              <w:rPr>
                <w:b/>
                <w:bCs/>
              </w:rPr>
            </w:pPr>
          </w:p>
          <w:p>
            <w:pPr>
              <w:pStyle w:val="3"/>
              <w:rPr>
                <w:b/>
                <w:bCs/>
              </w:rPr>
            </w:pPr>
          </w:p>
          <w:p>
            <w:pPr>
              <w:pStyle w:val="3"/>
              <w:rPr>
                <w:b/>
                <w:bCs/>
              </w:rPr>
            </w:pPr>
          </w:p>
          <w:p>
            <w:pPr>
              <w:rPr>
                <w:b/>
                <w:bCs/>
              </w:rPr>
            </w:pPr>
          </w:p>
        </w:tc>
      </w:tr>
    </w:tbl>
    <w:p>
      <w:pPr>
        <w:pStyle w:val="3"/>
        <w:tabs>
          <w:tab w:val="left" w:pos="3402"/>
        </w:tabs>
        <w:snapToGrid w:val="0"/>
        <w:rPr>
          <w:rFonts w:ascii="Times New Roman" w:hAnsi="Times New Roman" w:cs="Times New Roman"/>
        </w:rPr>
      </w:pPr>
    </w:p>
    <w:p>
      <w:pPr>
        <w:jc w:val="left"/>
        <w:textAlignment w:val="center"/>
        <w:rPr>
          <w:rFonts w:asciiTheme="minorEastAsia" w:hAnsiTheme="minorEastAsia" w:eastAsiaTheme="minorEastAsia"/>
          <w:szCs w:val="21"/>
        </w:rPr>
      </w:pPr>
    </w:p>
    <w:p>
      <w:pPr>
        <w:pStyle w:val="3"/>
        <w:tabs>
          <w:tab w:val="left" w:pos="3402"/>
        </w:tabs>
        <w:snapToGrid w:val="0"/>
        <w:rPr>
          <w:rFonts w:cs="Times New Roman" w:asciiTheme="minorEastAsia" w:hAnsiTheme="minorEastAsia" w:eastAsiaTheme="minorEastAsia"/>
        </w:rPr>
      </w:pPr>
    </w:p>
    <w:p>
      <w:pPr>
        <w:pStyle w:val="3"/>
        <w:tabs>
          <w:tab w:val="left" w:pos="3402"/>
        </w:tabs>
        <w:snapToGrid w:val="0"/>
        <w:rPr>
          <w:rFonts w:ascii="Times New Roman" w:hAnsi="Times New Roman" w:cs="Times New Roman"/>
        </w:rPr>
      </w:pPr>
    </w:p>
    <w:p/>
    <w:sectPr>
      <w:footerReference r:id="rId3" w:type="default"/>
      <w:pgSz w:w="11906" w:h="16838"/>
      <w:pgMar w:top="1440" w:right="1083" w:bottom="1440" w:left="10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MDQxYTdkNjJhMzY1YmQ5ZjA2NzI4Nzg3NGE3ZDgifQ=="/>
  </w:docVars>
  <w:rsids>
    <w:rsidRoot w:val="36F70EDF"/>
    <w:rsid w:val="36F70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1"/>
    <w:pPr>
      <w:spacing w:before="2"/>
      <w:ind w:left="400"/>
    </w:pPr>
    <w:rPr>
      <w:rFonts w:ascii="宋体" w:hAnsi="宋体" w:cs="宋体"/>
      <w:szCs w:val="21"/>
      <w:lang w:val="zh-CN" w:bidi="zh-CN"/>
    </w:rPr>
  </w:style>
  <w:style w:type="paragraph" w:styleId="3">
    <w:name w:val="Plain Text"/>
    <w:basedOn w:val="1"/>
    <w:qFormat/>
    <w:uiPriority w:val="99"/>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2024-12-06T02:38:00Z</dcterms:created>
  <dc:creator>庆阳</dc:creator>
  <cp:lastModifiedBy>庆阳</cp:lastModifiedBy>
  <dcterms:modified xsi:type="dcterms:W3CDTF">2024-12-06T02:38:32Z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19953ABA64F84B1AA461C8739A4405B0</vt:lpwstr>
  </property>
</Properties>
</file>