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4" w:name="_GoBack"/>
      <w:r>
        <w:rPr>
          <w:rFonts w:hint="eastAsia" w:ascii="宋体" w:hAnsi="宋体" w:eastAsia="宋体" w:cs="宋体"/>
          <w:sz w:val="32"/>
          <w:szCs w:val="32"/>
        </w:rPr>
        <w:t>教材知识在高考试卷中的呈现及复习对策</w:t>
      </w:r>
    </w:p>
    <w:bookmarkEnd w:id="4"/>
    <w:p>
      <w:pPr>
        <w:pStyle w:val="6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——以2023年湖北历史卷选择题为例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摘要</w:t>
      </w:r>
      <w:r>
        <w:rPr>
          <w:rFonts w:hint="eastAsia" w:ascii="宋体" w:hAnsi="宋体" w:eastAsia="宋体" w:cs="宋体"/>
          <w:sz w:val="28"/>
          <w:szCs w:val="28"/>
        </w:rPr>
        <w:t>：在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新课标的引领下</w:t>
      </w:r>
      <w:r>
        <w:rPr>
          <w:rFonts w:hint="eastAsia" w:ascii="宋体" w:hAnsi="宋体" w:eastAsia="宋体" w:cs="宋体"/>
          <w:sz w:val="28"/>
          <w:szCs w:val="28"/>
        </w:rPr>
        <w:t>，高考试题也在不断演进和创新。高考试题在源于教材的同时又高于教材，将教材知识与高考试题相融合，是高考备考过程中的关键步骤。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关键词：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教材；高考试题；历史核心素养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《中国高考报告》指出：高考命题会以教材中的知识为蓝本进行改造，既可以实现对基础知识的考查，又可以引导回归教材，减轻学习负担，提高学生学习的针对性和有效性。</w:t>
      </w:r>
      <w:r>
        <w:rPr>
          <w:rStyle w:val="11"/>
          <w:rFonts w:hint="eastAsia" w:ascii="宋体" w:hAnsi="宋体" w:eastAsia="宋体" w:cs="宋体"/>
          <w:sz w:val="28"/>
          <w:szCs w:val="28"/>
        </w:rPr>
        <w:footnoteReference w:id="0"/>
      </w:r>
      <w:r>
        <w:rPr>
          <w:rFonts w:hint="eastAsia" w:ascii="宋体" w:hAnsi="宋体" w:eastAsia="宋体" w:cs="宋体"/>
          <w:sz w:val="28"/>
          <w:szCs w:val="28"/>
        </w:rPr>
        <w:t>新高考为发挥“引导教学”的核心功能，非常注重对教材知识的延伸和发展，很多题目都能在教材中找到影踪。本文以2023年湖北卷选择题为例，深入探讨教材知识在高考试卷中的呈现及复习对策。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（一）2023年湖北卷选择题对教材知识的考查特点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2023届湖北卷高考历史学科题型发生了重大变化，选择题变成15题共45分。中国史和世界史的比重是2：1，中国史重要性进一步凸显，与此同时，对选择性必修的考查比重也在进一步提升。如选择题1考查选必2中的食物采集与生产工具，选择题11出自选必1近代西方法律制度的渊源及发展，以上都是在考查选择性必修的内容。湖北卷重视培养学生的问题意识、思维逻辑和问题探究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试题与新教材课文内容的联系进一步加强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高考的理论框架，高考的评估体系以一个核心要素为核心，辅以四个层面的评估内容和四个维度的评估要求。这个核心的精神支柱是“立德树人”，旨在通过考试促进品德教育，同时服务于人才甄选，从而指引教学方向。四个层次包括：塑造学生坚定价值观和美德的“核心价值”，强调学科实际运用和理解的“学科素养”，测评学生解决问题和批判性思考等关键技能的“关键能力”，以及作为学习基础的“必备知识”。此外，高考的“四翼”考查要求分别是：对基础知识的扎实掌握，即“基础性”；跨学科知识融合的“综合性”；将理论应用于实践的“应用性”；以及培养创新思维和独立见解的“创新性”。这四个方面共同构建了一个全面且深入的评价体系，致力于推动学生的全面发展，增强他们应对社会挑战的能力。</w:t>
      </w:r>
      <w:r>
        <w:rPr>
          <w:rStyle w:val="11"/>
          <w:rFonts w:hint="eastAsia" w:ascii="宋体" w:hAnsi="宋体" w:eastAsia="宋体" w:cs="宋体"/>
          <w:sz w:val="28"/>
          <w:szCs w:val="28"/>
        </w:rPr>
        <w:footnoteReference w:id="1"/>
      </w:r>
      <w:r>
        <w:rPr>
          <w:rFonts w:hint="eastAsia" w:ascii="宋体" w:hAnsi="宋体" w:eastAsia="宋体" w:cs="宋体"/>
          <w:sz w:val="28"/>
          <w:szCs w:val="28"/>
        </w:rPr>
        <w:t>2023年湖北卷对教材知识的考查主要呈现以下几个特征：</w:t>
      </w:r>
    </w:p>
    <w:p>
      <w:pPr>
        <w:pStyle w:val="17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对教材知识的基础性考查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在2023年的湖北历史考试中，命题者摒弃了广泛而全面的知识考核，转而重点考查基础知识与关键知识之间的相互关联和综合运用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这一策略明确彰显了对学科核心内容的重视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其目的是通过此类问题来深入评价和甄别考生的历史素养和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实践</w:t>
      </w:r>
      <w:r>
        <w:rPr>
          <w:rFonts w:hint="eastAsia" w:ascii="宋体" w:hAnsi="宋体" w:eastAsia="宋体" w:cs="宋体"/>
          <w:sz w:val="28"/>
          <w:szCs w:val="28"/>
        </w:rPr>
        <w:t>能力。历史知识体系由两部分构成。一方面，基础知识包括历史事实——关于过去事件的具体细节，历史概念——对历史现象的抽象理解和界定，以及历史解释——从历史事件中提炼的逻辑推断。另一方面，高级层面则关注历史的阶段特性，即各个时期独有的特点，以及历史的基本轮廓和发展历程——对历史演变的总体理解，这需要考生能够梳理历史的主线和演变趋势。这样的考题设计既检验了考生的知识广度，也测试了他们对历史的深入理解和分析技巧。</w:t>
      </w:r>
      <w:r>
        <w:rPr>
          <w:rStyle w:val="11"/>
          <w:rFonts w:hint="eastAsia" w:ascii="宋体" w:hAnsi="宋体" w:eastAsia="宋体" w:cs="宋体"/>
          <w:sz w:val="28"/>
          <w:szCs w:val="28"/>
        </w:rPr>
        <w:footnoteReference w:id="2"/>
      </w:r>
      <w:r>
        <w:rPr>
          <w:rFonts w:hint="eastAsia" w:ascii="宋体" w:hAnsi="宋体" w:eastAsia="宋体" w:cs="宋体"/>
          <w:sz w:val="28"/>
          <w:szCs w:val="28"/>
        </w:rPr>
        <w:t>试卷所涉及的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基础知识有</w:t>
      </w:r>
      <w:r>
        <w:rPr>
          <w:rFonts w:hint="eastAsia" w:ascii="宋体" w:hAnsi="宋体" w:eastAsia="宋体" w:cs="宋体"/>
          <w:sz w:val="28"/>
          <w:szCs w:val="28"/>
        </w:rPr>
        <w:t>从食物采集到食物生产、唐代的民族交往与交融、宋元农业和手工业的发展、明清时期官员选拔与管理、第二次鸦片战争的过程与影响、太平天国运动、社会主义市场经济体制、近代西方法律制度的渊源及发展、西欧封建庄园、工业革命、战后非洲的民族独立、冷战与两极格局等考点，这些基础知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sz w:val="28"/>
          <w:szCs w:val="28"/>
        </w:rPr>
        <w:t>是必须透彻理解并精准掌握的关键概念。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如第15题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1946年6月25日，世界银行正式营业。截至1949年6月底，银行资产约为20.73亿美元，贷款审批情况如下表（单位：亿美元），这反映二战后初期世界银行（ ）</w:t>
      </w:r>
    </w:p>
    <w:tbl>
      <w:tblPr>
        <w:tblStyle w:val="9"/>
        <w:tblW w:w="858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58"/>
        <w:gridCol w:w="776"/>
        <w:gridCol w:w="659"/>
        <w:gridCol w:w="776"/>
        <w:gridCol w:w="659"/>
        <w:gridCol w:w="659"/>
        <w:gridCol w:w="659"/>
        <w:gridCol w:w="776"/>
        <w:gridCol w:w="916"/>
        <w:gridCol w:w="659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法国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荷兰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南斯拉夫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智利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捷克斯洛伐克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丹麦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伊朗</w:t>
            </w:r>
          </w:p>
        </w:tc>
        <w:tc>
          <w:tcPr>
            <w:tcW w:w="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卢森堡</w:t>
            </w:r>
          </w:p>
        </w:tc>
        <w:tc>
          <w:tcPr>
            <w:tcW w:w="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墨西哥</w:t>
            </w:r>
          </w:p>
        </w:tc>
        <w:tc>
          <w:tcPr>
            <w:tcW w:w="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波兰</w:t>
            </w:r>
          </w:p>
        </w:tc>
        <w:tc>
          <w:tcPr>
            <w:tcW w:w="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申请额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5.0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5.35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5.0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0.4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3.5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0.5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</w:t>
            </w:r>
          </w:p>
        </w:tc>
        <w:tc>
          <w:tcPr>
            <w:tcW w:w="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0.2</w:t>
            </w:r>
          </w:p>
        </w:tc>
        <w:tc>
          <w:tcPr>
            <w:tcW w:w="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2.09</w:t>
            </w:r>
          </w:p>
        </w:tc>
        <w:tc>
          <w:tcPr>
            <w:tcW w:w="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6.0</w:t>
            </w:r>
          </w:p>
        </w:tc>
        <w:tc>
          <w:tcPr>
            <w:tcW w:w="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批准额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1.95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0.16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0.4</w:t>
            </w:r>
          </w:p>
        </w:tc>
        <w:tc>
          <w:tcPr>
            <w:tcW w:w="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0.12</w:t>
            </w:r>
          </w:p>
        </w:tc>
        <w:tc>
          <w:tcPr>
            <w:tcW w:w="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0.341</w:t>
            </w:r>
          </w:p>
        </w:tc>
        <w:tc>
          <w:tcPr>
            <w:tcW w:w="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0.75</w:t>
            </w:r>
          </w:p>
        </w:tc>
      </w:tr>
    </w:tbl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 配合马歇尔计划的实施    B. 贷款对象集中于不发达国家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 决策行为受到冷战影响    D. 推动区域经济集团化的形成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选择题在中国史的考查上未发生变化，但世界史考查变化较大，试卷对世界近现代史的考查弱化。本题是最后一道选择题，考查世界现代史内容，全球历史划分如下：古代历史涵盖了人类社会的初期阶段直至1640年英国的资产阶级革命发生前；近代史起始于这场革命，一直延续到1917年俄国的十月社会主义革命之前；现代史以俄国的十月革命为起点，一直延伸至1945年的第二次世界大战结束；而当代史则涉及1945年以来的世界，即二战结束之后至今的历史。在探讨20世纪下半叶的世界变化时，</w:t>
      </w:r>
      <w:r>
        <w:rPr>
          <w:rStyle w:val="11"/>
          <w:rFonts w:hint="eastAsia" w:ascii="宋体" w:hAnsi="宋体" w:eastAsia="宋体" w:cs="宋体"/>
          <w:sz w:val="28"/>
          <w:szCs w:val="28"/>
        </w:rPr>
        <w:footnoteReference w:id="3"/>
      </w:r>
      <w:r>
        <w:rPr>
          <w:rFonts w:hint="eastAsia" w:ascii="宋体" w:hAnsi="宋体" w:eastAsia="宋体" w:cs="宋体"/>
          <w:sz w:val="28"/>
          <w:szCs w:val="28"/>
        </w:rPr>
        <w:t>尤其关注第八单元《冷战与国际格局的演变》，其中冷战被定义为从20世纪40年代中叶直至80年代末90年代初，美国和苏联主导的两大阵营之间非战争非和平的长期对抗状态。这一概念在第18课《冷战与国际关系的转型》中有所阐述。</w:t>
      </w:r>
      <w:r>
        <w:rPr>
          <w:rStyle w:val="11"/>
          <w:rFonts w:hint="eastAsia" w:ascii="宋体" w:hAnsi="宋体" w:eastAsia="宋体" w:cs="宋体"/>
          <w:sz w:val="28"/>
          <w:szCs w:val="28"/>
        </w:rPr>
        <w:footnoteReference w:id="4"/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据本题时间信息可知准确时空是1946年至1949年（世界）。对应国际历史事件1946年（政治协商会议在重庆召开、国内全面内战爆发）、1947年（杜鲁门主义出台标志美苏冷战的开始、23国签署《关税与贸易总协定》、马歇尔计划出台、苏联等国家成立共产党和工人党情报局）、1948年（第一次柏林危机爆发、以色列成立、第一次中东战争爆发）、1949年（北大西洋公约组织成立）。据表格可知，申请世界银行贷款的国家很多，但是得到批准的基本是资本主义国家，结合题干时间二战结束后初期，说明世界银行决策行为受到冷战思维影响，C项正确；1948年后，欧洲战后复兴主要是依靠美国的马歇尔计划，材料信息不能推断出世界银行配合马歇尔计划实施，排除A项；据表格可知，获得世界银行贷款成功的是西欧资本主义国家，不是发达国家，排除B项；材料信息与区域经济集团化不相关，排除D项，故选A项。</w:t>
      </w:r>
    </w:p>
    <w:p>
      <w:pPr>
        <w:pStyle w:val="17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对教材知识的综合性考查</w:t>
      </w:r>
    </w:p>
    <w:p>
      <w:pPr>
        <w:pStyle w:val="1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4月8日教育部发布《关于做好2019年普通高校招生工作的通知》深化考试内容改革：“2019年高考命题要充分体现德智体美劳全面发展要求，以立德树人为鲜明导向，减少单纯死记硬背的知识性考察，推动学生关键能力和核心素养在教学和考试中的落实，助力高中育人式改革”。这意味着高考命题不再局限于单一的学科知识，而是鼓励考生将多学科的知识结合起来，培养跨学科思维，解决实际问题。</w:t>
      </w:r>
    </w:p>
    <w:p>
      <w:pPr>
        <w:pStyle w:val="1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如第4题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宋代依据有无田产，将全国户口分为主户和客户。下表是北宋宝元元年（1038）和元丰元年（1078）三路主户、客户的统计数据，表中客户比率变化反映（     ）</w:t>
      </w:r>
    </w:p>
    <w:tbl>
      <w:tblPr>
        <w:tblStyle w:val="9"/>
        <w:tblW w:w="1057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496"/>
        <w:gridCol w:w="884"/>
        <w:gridCol w:w="1016"/>
        <w:gridCol w:w="1128"/>
        <w:gridCol w:w="1030"/>
        <w:gridCol w:w="26"/>
        <w:gridCol w:w="1056"/>
        <w:gridCol w:w="916"/>
        <w:gridCol w:w="38"/>
        <w:gridCol w:w="1018"/>
        <w:gridCol w:w="1041"/>
        <w:gridCol w:w="15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政区</w:t>
            </w:r>
          </w:p>
        </w:tc>
        <w:tc>
          <w:tcPr>
            <w:tcW w:w="3028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荆湖南路</w:t>
            </w:r>
          </w:p>
        </w:tc>
        <w:tc>
          <w:tcPr>
            <w:tcW w:w="30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荆湖北路</w:t>
            </w:r>
          </w:p>
        </w:tc>
        <w:tc>
          <w:tcPr>
            <w:tcW w:w="2990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江南东路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年份</w:t>
            </w:r>
          </w:p>
        </w:tc>
        <w:tc>
          <w:tcPr>
            <w:tcW w:w="49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</w:t>
            </w:r>
          </w:p>
        </w:tc>
        <w:tc>
          <w:tcPr>
            <w:tcW w:w="49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户别</w:t>
            </w:r>
          </w:p>
        </w:tc>
        <w:tc>
          <w:tcPr>
            <w:tcW w:w="8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主户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客户比率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主户</w:t>
            </w:r>
          </w:p>
        </w:tc>
        <w:tc>
          <w:tcPr>
            <w:tcW w:w="108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</w:t>
            </w:r>
          </w:p>
        </w:tc>
        <w:tc>
          <w:tcPr>
            <w:tcW w:w="95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客户比率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主户</w:t>
            </w:r>
          </w:p>
        </w:tc>
        <w:tc>
          <w:tcPr>
            <w:tcW w:w="10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</w:t>
            </w:r>
          </w:p>
        </w:tc>
        <w:tc>
          <w:tcPr>
            <w:tcW w:w="93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宝元元年</w:t>
            </w:r>
          </w:p>
        </w:tc>
        <w:tc>
          <w:tcPr>
            <w:tcW w:w="88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456431</w:t>
            </w:r>
          </w:p>
        </w:tc>
        <w:tc>
          <w:tcPr>
            <w:tcW w:w="10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354626</w:t>
            </w:r>
          </w:p>
        </w:tc>
        <w:tc>
          <w:tcPr>
            <w:tcW w:w="112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0.437</w:t>
            </w:r>
          </w:p>
        </w:tc>
        <w:tc>
          <w:tcPr>
            <w:tcW w:w="1056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350593</w:t>
            </w:r>
          </w:p>
        </w:tc>
        <w:tc>
          <w:tcPr>
            <w:tcW w:w="105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238709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0.405</w:t>
            </w:r>
          </w:p>
        </w:tc>
        <w:tc>
          <w:tcPr>
            <w:tcW w:w="1056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902261</w:t>
            </w:r>
          </w:p>
        </w:tc>
        <w:tc>
          <w:tcPr>
            <w:tcW w:w="1056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171499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元丰元年</w:t>
            </w:r>
          </w:p>
        </w:tc>
        <w:tc>
          <w:tcPr>
            <w:tcW w:w="88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475677</w:t>
            </w:r>
          </w:p>
        </w:tc>
        <w:tc>
          <w:tcPr>
            <w:tcW w:w="10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395537</w:t>
            </w:r>
          </w:p>
        </w:tc>
        <w:tc>
          <w:tcPr>
            <w:tcW w:w="112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0.454</w:t>
            </w:r>
          </w:p>
        </w:tc>
        <w:tc>
          <w:tcPr>
            <w:tcW w:w="1056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280000</w:t>
            </w:r>
          </w:p>
        </w:tc>
        <w:tc>
          <w:tcPr>
            <w:tcW w:w="105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377533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0.574</w:t>
            </w:r>
          </w:p>
        </w:tc>
        <w:tc>
          <w:tcPr>
            <w:tcW w:w="1056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926225</w:t>
            </w:r>
          </w:p>
        </w:tc>
        <w:tc>
          <w:tcPr>
            <w:tcW w:w="1056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201086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0.178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Hlk163826578"/>
      <w:bookmarkStart w:id="1" w:name="_Hlk163830453"/>
      <w:r>
        <w:rPr>
          <w:rFonts w:hint="eastAsia" w:ascii="宋体" w:hAnsi="宋体" w:eastAsia="宋体" w:cs="宋体"/>
          <w:sz w:val="28"/>
          <w:szCs w:val="28"/>
        </w:rPr>
        <w:t>A</w:t>
      </w:r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. 土地兼并程度加深          </w:t>
      </w:r>
      <w:bookmarkStart w:id="2" w:name="_Hlk163826853"/>
      <w:r>
        <w:rPr>
          <w:rFonts w:hint="eastAsia" w:ascii="宋体" w:hAnsi="宋体" w:eastAsia="宋体" w:cs="宋体"/>
          <w:sz w:val="28"/>
          <w:szCs w:val="28"/>
        </w:rPr>
        <w:t xml:space="preserve"> B</w:t>
      </w:r>
      <w:bookmarkEnd w:id="2"/>
      <w:r>
        <w:rPr>
          <w:rFonts w:hint="eastAsia" w:ascii="宋体" w:hAnsi="宋体" w:eastAsia="宋体" w:cs="宋体"/>
          <w:sz w:val="28"/>
          <w:szCs w:val="28"/>
        </w:rPr>
        <w:t>. 地域经济差别扩大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3" w:name="_Hlk163826941"/>
      <w:r>
        <w:rPr>
          <w:rFonts w:hint="eastAsia" w:ascii="宋体" w:hAnsi="宋体" w:eastAsia="宋体" w:cs="宋体"/>
          <w:sz w:val="28"/>
          <w:szCs w:val="28"/>
        </w:rPr>
        <w:t>C</w:t>
      </w:r>
      <w:bookmarkEnd w:id="3"/>
      <w:r>
        <w:rPr>
          <w:rFonts w:hint="eastAsia" w:ascii="宋体" w:hAnsi="宋体" w:eastAsia="宋体" w:cs="宋体"/>
          <w:sz w:val="28"/>
          <w:szCs w:val="28"/>
        </w:rPr>
        <w:t>. 商品经济发展加快           D. 贫富差距逐渐缩小</w:t>
      </w:r>
    </w:p>
    <w:bookmarkEnd w:id="1"/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湖北高考历史试题突出聚焦中国古代史，试题深入剖析关键历史人物，全面覆盖重大事件。既测试了考生的历史知识理解，又鼓励他们从地方视角深度思考全国乃至全球历史变化。本题考查时空观念、历史解释。知识点出自中外历史纲要上第三单元，教材链接第11课《辽宋夏金元的经济与社会》（为适应社会经济的变化，宋朝政府适当放松了对社会的控制。遵循法规、缴纳相关税费后，交易即可合法完成，无需繁琐的官方许可。这种制度推动了土地所有权的顺畅流转和资金借贷，增强了市场活力，优化了资源配置。买卖或抵押土地的双方，只要依法缴税，即可保障交易合法性，维护自身权益，从而在一定范围内保证了市场的公正与效率。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题关键是要理解什么是“主户”、“客户”，然后才好读懂表格的变化，好在题干第一句话就点出了：有田产为主户，主要是地主、自耕农；无田产为客户，主要是佃户。根据表格信息可知，这三路无田产的客户比率均呈上涨趋势，结合“宋代”、“田产”等时空信息，联系宋代不抑制土地兼并的知识点，可选出A项。江南东路大致在今天安徽、江苏两省长江以南，属于江南地区。北宋时，经济重心进一步南移至江南，所以江南东路的户数最多。荆湖南路和荆湖北路大致是今天的湖南、湖北地区，经济发展水平不如江南东路，但是从主客户增长情况来看，荆湖南路增加了近6万，荆湖北路增加了6.8万，江南东路增加了5.3万。可见两湖地区与江南东路的经济差距在减小。此外，题目问的是客户比率，三地客户比率都在增加，无法看出三者之间的地域经济差距，B项错误。宋代商品经济发展繁荣，但是题干涉及的是农业，这个客户并不是今天商业上的“客户”，而是根据有无田产确定的客户。此外，也未展现农产品商品化的信息，C项无关。无田产的客户比重增加，说明贫者更贫，且数量更多，贫富差距应该是扩大，D项错误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解析这段材料的过程中既需要学生具备基本的史地基础知识，又需要教师运用有效的思维方法，运用物理、数学常用的比较、论证、说明方法，进行跨学科的方法融通互鉴，以便更好地适应新高考“不分文理”选课走班的要求，提升学习思维品质，提高创新思维能力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3．对教材知识的应用性考查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中国高考评价体系》中的“四翼”，即基础性、综合性、应用性、创新性。应用性试题的情境具有真实性的特点，它包括跨学科情境、生产实际情境、现实生活情境三类，应用性试题的考查强调综合运用科学方法对历史现象进行梳理、论证和探讨，用历史映照现实，远观未来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如第8题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1915年5月22日，《申报》刊登了一则中国上海明明眼镜公司的声明：“近有丧心病狂之徒，以自己之营业失败，侮蔑本公司货物，谓贩自日本，实为本公司意外之奇辱也……..不独本公司无丝毫日货，即中国全国眼镜界上，吾亦敢断言绝无丝毫日货混杂其间。”该现象反映（      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 外交关系影响社会舆论          B.新文化运动的深入发展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 民族企业发展形势严峻          D. 中外商业竞争愈发激烈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据本题时间信息可知准确时空是：1915年（中国），本题设置的情境为1915年《申报》上刊登的一则中国上海明明眼镜公司的声明，体现了现实生活情境。知识点在《中外历史纲要上》第六单元第20课，探讨了北洋军阀时代的复杂历史。尽管军阀纷争造成政治动荡，国家表面分裂，但这个阶段并非全然黑暗。民族资本主义在沿海城市如上海蓬勃发展，经济中心逐渐形成。文化领域，新文化运动扮演了思想解放的先锋，科学与民主的价值观广为传播。（与此同时，群众性的反帝爱国斗争此起彼伏，特别是1915年因反对“二十一条”掀起的抵制日货、提倡国货运动，有力推动了纺织、面粉等轻工业系统的民族资本主义的发展）。1915年9月，陈独秀在《新青年》上发表《敬告青年》，揭开了新文化运动的序幕。1915年5月，新文化运动尚未发生，故B项错误。明明眼镜公司的声明，不是要摆脱企业发展的困境，而是要声明与日货没有任何关系，并借此表明其反日爱国的立场，故C项错误。明明眼镜公司的声明，顺应了反日爱国的浪潮。抵制日货斗争的起因是日本侵犯中国的利益，而不是日企在中国的竞争与发展，D项错误。1915年，日本驻华公使以支持袁世凯称帝为条件，强迫袁世凯政府签订了二十一条。这一消息的公开，引发了中国的反日怒潮。抵制日货是实业界和全国各阶层的共同要求，形成了强大的社会舆论。明明眼镜公司的声明，从一个侧面实证了舆论的强大威力，故A项正确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题以1915年上海明明眼镜公司的声明构建学习情境，要求学生从明明眼镜公司的声明中提取有效信息。任何历史事件的发生都与时代有着密切的关联，在历史学习中，要把历史事件、历史现象、历史史实融入特定的历史时代中去，一方面弄清它们与历史时代的关系，深化对它们的认识；另一方面通过它们更深入地了解时代特征，加深对历史发展阶段性特征的认识，反帝爱国是近代中国社会发展的主旋律。</w:t>
      </w:r>
    </w:p>
    <w:p>
      <w:pPr>
        <w:ind w:left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4.对教材知识的创新性考查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创新性是高考评价体系重要的考查要求，是实现高考选拔的有效途径。“创新性”情境是高考试题命题情境的核心，在教育部考试中心制定的《中国高考评价体系》就鲜明的指出，高考试题应“创设合理情境，设置新颖的试题呈现方式和设问方式，要求对即将进入高等学校的学习者在新颖或陌生的情境中主动思考，完成开放性和探究性的任务，发现新问题、找到新规律、得出新结论”。当前教育评估体系高度依赖高考，创新多体现于设计独特的考题和提问方式。这要求试题新颖独特，以破除应试模式，激发学生思维，同时需难度适中，全面考核理解、分析和创新能力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14:ligatures w14:val="none"/>
        </w:rPr>
        <w:drawing>
          <wp:inline distT="0" distB="0" distL="0" distR="0">
            <wp:extent cx="5274310" cy="1136650"/>
            <wp:effectExtent l="0" t="0" r="2540" b="6350"/>
            <wp:docPr id="19954993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49935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该题目构建的学习情境源自罗马帝国分裂后一位皇帝的远大抱负，拜占庭帝国的皇帝查士丁尼一世（527——565）在位期间，以图恢复古罗马的荣耀。对内，在内政方面，他通过任命特里波尼安等人编纂法典和发布新敕令，形成了欧洲第一部系统完备的法典——《国法大全》；改革行政，加强中央集权；发展对外商贸，引进丝织业；干预宗教事务，迫害阿里乌斯派等异端；兴建圣索菲亚大教堂。对外，以名将贝利撒留等在东部与萨珊波斯作战，在西部征服北非汪达尔王国、意大利东哥特王国并占领西哥特王国南部。查士丁尼大帝的统治理念，据瓦西列夫概括，可归结为“一位皇帝，一部法律，一个帝国”，这一原则影响了其整个统治。历史学家普遍认为，他的时代是东罗马向拜占庭帝国转变的关键时期，标志了从古典时代到希腊化主导的过渡。在位时，他强化中央集权，统一了法律，如《查士丁尼法典》，巩固了政体。他还积极推动希腊文化的融合，使得拜占庭在语言、艺术和思想上展现出浓厚的希腊色彩。查士丁尼的统治成为连接罗马传统与拜占庭遗产的重要桥梁，其影响深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本题从学者的研究内容切入，考查对查士丁尼时代的了解和认识，题目的选项出自教材内容，但是本题也可能以推断得出结论，即“恢复.......荣耀”，与恢复荣耀相关的仅有 D项中的“征服与占领”。这启示我们，在解决历史问题时，要善于从多种途径思考，力戒觉得陌生就放弃。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教材使用建议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考历史试题的设计旨在超越单纯依赖教材的框架。过度依赖教材无法全面体现学生的能力，而过度偏离又可能导致考核缺乏根基。这些能力的培养是在掌握教材基本知识和技能的过程中逐步形成的。审视湖北高考的历史题目，可以看出尽管题目未必直接出自教材，但其测试的知识点都与教材内容密切相关。因此，针对2024年的高考复习，笔者对于如何运用教材有以下建议：</w:t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理解教材与课程标准的关联，依照课程标准解析教材</w:t>
      </w:r>
    </w:p>
    <w:p>
      <w:pPr>
        <w:ind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教材严格遵循课程标准，确保与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 w:cs="宋体"/>
          <w:sz w:val="28"/>
          <w:szCs w:val="28"/>
        </w:rPr>
        <w:t>目标一致，高考命题以此为基准评估学生理解和应用能力。每个章节、段落、知识点都直观展示着课程标准的要求。教学时，教师应参考标准，提炼核心主题，增强教学针对性和效率。课程标准中的“内容要求”应转化为引发学生思考的问题，每个要求应转化为深究的问题，通过教材学习，学生能全面理解并实践这些要求。这不仅教授学生知识，更教会学生解决问题，真正实现对新课标的落实，实现对要点知识的掌握。</w:t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精确分析课文表述，挖掘隐形知识，适当延伸知识范围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实现对课程标准”内容要求“的掌握之后，并不能真正应对高考题，因为教材中的相关知识表述比课程标准中的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内容要求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要精细丰富的多。高考历史试题侧重细节，往往从教材的微小处设题，因此教学中需强调深度阅读和理解，每个字句都不能忽视。教师需有深厚的历史功底，以解析教材的深层含义，并引导学生深入研究。同时，扩展教材知识也至关重要，如结合历史背景、人物故事和事件影响进行讲解，既丰富基础知识，又拓宽学术视野。提倡学生阅读时做笔记和标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既</w:t>
      </w:r>
      <w:r>
        <w:rPr>
          <w:rFonts w:hint="eastAsia" w:ascii="宋体" w:hAnsi="宋体" w:eastAsia="宋体" w:cs="宋体"/>
          <w:sz w:val="28"/>
          <w:szCs w:val="28"/>
        </w:rPr>
        <w:t>能即时巩固学习，也能培养主动学习的习惯。</w:t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整合纲要与选择性必修内容，实现分类融合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择性必修课程和教学大纲应被视为一个统一的整体，不可单独割裂理解。考虑到历史教材中，大纲和选择性必修部分虽然存在交叉主题，但各自的角度和阐述方式各有不同，这可能导致学生在复习时遇到混淆和困难。因此，教师需要对教学资源进行深入的整合，对共同涉及的内容进行提炼和重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组合</w:t>
      </w:r>
      <w:r>
        <w:rPr>
          <w:rFonts w:hint="eastAsia" w:ascii="宋体" w:hAnsi="宋体" w:eastAsia="宋体" w:cs="宋体"/>
          <w:sz w:val="28"/>
          <w:szCs w:val="28"/>
        </w:rPr>
        <w:t>，突出关键知识点，以此提升学生的理解和记忆效率。</w:t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掌握教材，实现独立表达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历史学的广阔领域里，一句格言强调了创新研究的重要性：“要做活学问，需下死功夫。”这句话强调了在人文学科中提出独到观点的价值，这些观点建立在深厚的知识基础上。对于历史来说，这个基础是深入研读大量史料。为了帮助学生不仅记忆还能灵活运用知识，竞赛式复述是种有效方式。这种方法鼓励学生在课堂上用自我表达来检验学习效果。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</w:t>
      </w:r>
      <w:r>
        <w:rPr>
          <w:rFonts w:hint="eastAsia" w:ascii="宋体" w:hAnsi="宋体" w:eastAsia="宋体" w:cs="宋体"/>
          <w:sz w:val="28"/>
          <w:szCs w:val="28"/>
        </w:rPr>
        <w:t>挑选关键知识点，组织学生比赛复述，听众即时反馈和纠正错误。复述应基于个人理解，而非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机械重复</w:t>
      </w:r>
      <w:r>
        <w:rPr>
          <w:rFonts w:hint="eastAsia" w:ascii="宋体" w:hAnsi="宋体" w:eastAsia="宋体" w:cs="宋体"/>
          <w:sz w:val="28"/>
          <w:szCs w:val="28"/>
        </w:rPr>
        <w:t>。这种互动可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sz w:val="28"/>
          <w:szCs w:val="28"/>
        </w:rPr>
        <w:t>引发讨论，从而深化理解和记忆。通过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小组内</w:t>
      </w:r>
      <w:r>
        <w:rPr>
          <w:rFonts w:hint="eastAsia" w:ascii="宋体" w:hAnsi="宋体" w:eastAsia="宋体" w:cs="宋体"/>
          <w:sz w:val="28"/>
          <w:szCs w:val="28"/>
        </w:rPr>
        <w:t>的反复练习和讨论，学生既能展示对知识的理解，也能通过实践巩固知识，真正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成为</w:t>
      </w:r>
      <w:r>
        <w:rPr>
          <w:rFonts w:hint="eastAsia" w:ascii="宋体" w:hAnsi="宋体" w:eastAsia="宋体" w:cs="宋体"/>
          <w:sz w:val="28"/>
          <w:szCs w:val="28"/>
        </w:rPr>
        <w:t>知识的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主人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提升历史时空观念在教材中的阐述清晰度与力度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课程标准指出：“任何历史事物都是在特定的、具体的时间和空间条件下发生的，只有在特定的时空框架中，才可能对史事有准确的理解。” </w:t>
      </w:r>
      <w:r>
        <w:rPr>
          <w:rStyle w:val="11"/>
          <w:rFonts w:hint="eastAsia" w:ascii="宋体" w:hAnsi="宋体" w:eastAsia="宋体" w:cs="宋体"/>
          <w:sz w:val="28"/>
          <w:szCs w:val="28"/>
        </w:rPr>
        <w:footnoteReference w:id="5"/>
      </w:r>
      <w:r>
        <w:rPr>
          <w:rFonts w:hint="eastAsia" w:ascii="宋体" w:hAnsi="宋体" w:eastAsia="宋体" w:cs="宋体"/>
          <w:sz w:val="28"/>
          <w:szCs w:val="28"/>
        </w:rPr>
        <w:t>近年来，历史教育考试特别重视对时间和空间概念的深入理解和精确分析。常常采用的考核方法是将问题设定在特定的历史时空，以此创建丰富立体的历史场景，期望考生能精准地将历史事件定位在其相应的时空框架内。这就需要学生扎实掌握教科书中的时间线和地理信息，防止任何疏漏或混淆，确保每个历史事件都能与正确的时空坐标相匹配。这样的学习方式不仅能够加深对历史本质的理解，同时也能提升答题的效率和准确性。</w:t>
      </w:r>
    </w:p>
    <w:p>
      <w:pPr>
        <w:ind w:firstLine="560" w:firstLineChars="200"/>
        <w:jc w:val="left"/>
        <w:rPr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新课标引领</w:t>
      </w:r>
      <w:r>
        <w:rPr>
          <w:rFonts w:hint="eastAsia" w:ascii="宋体" w:hAnsi="宋体" w:eastAsia="宋体" w:cs="宋体"/>
          <w:sz w:val="28"/>
          <w:szCs w:val="28"/>
        </w:rPr>
        <w:t>下，高考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试题</w:t>
      </w:r>
      <w:r>
        <w:rPr>
          <w:rFonts w:hint="eastAsia" w:ascii="宋体" w:hAnsi="宋体" w:eastAsia="宋体" w:cs="宋体"/>
          <w:sz w:val="28"/>
          <w:szCs w:val="28"/>
        </w:rPr>
        <w:t>经历了深刻的演进，始终致力于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促进学生的全面发展</w:t>
      </w:r>
      <w:r>
        <w:rPr>
          <w:rFonts w:hint="eastAsia" w:ascii="宋体" w:hAnsi="宋体" w:eastAsia="宋体" w:cs="宋体"/>
          <w:sz w:val="28"/>
          <w:szCs w:val="28"/>
        </w:rPr>
        <w:t>。然而，我们应清醒地意识到，历史教育的根本在于以教科书为基础的知识体系。因此，在高考备考的过程中，对教科书的深度理解和研究至关重要。这不仅需要重读教科书，梳理历史的主线和细节，更要熟悉并掌握其中的知识，使其成为常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此外，要深化理解，揭示教材背后的深层含义和历史的规律；同时，利用教材，把理论付诸实践，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用历史映照未来</w:t>
      </w:r>
      <w:r>
        <w:rPr>
          <w:rFonts w:hint="eastAsia" w:ascii="宋体" w:hAnsi="宋体" w:eastAsia="宋体" w:cs="宋体"/>
          <w:sz w:val="28"/>
          <w:szCs w:val="28"/>
        </w:rPr>
        <w:t>。最后，要有能力超越教材，发展出独立的思考和创新的理解。这些环环相扣的步骤，构成了高考复习的关键环节。</w:t>
      </w:r>
      <w:r>
        <w:rPr>
          <w:rStyle w:val="11"/>
          <w:rFonts w:hint="eastAsia" w:ascii="宋体" w:hAnsi="宋体" w:eastAsia="宋体" w:cs="宋体"/>
          <w:sz w:val="28"/>
          <w:szCs w:val="28"/>
        </w:rPr>
        <w:footnoteReference w:id="6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/>
  </w:footnote>
  <w:footnote w:type="continuationSeparator" w:id="15">
    <w:p/>
  </w:footnote>
  <w:footnote w:id="0">
    <w:p>
      <w:pPr>
        <w:pStyle w:val="7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林财福；黄锦哲.《追本溯源明方向 精准教学促提升——以2023年全国Ⅰ卷第21题为例》[J].理科考试研究，2023-11-01：26—28。</w:t>
      </w:r>
    </w:p>
  </w:footnote>
  <w:footnote w:id="1">
    <w:p>
      <w:pPr>
        <w:pStyle w:val="7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唐娟.《历史学科高考试题能力指向与教材运用》[D].西华师范大学.2020-04-01。</w:t>
      </w:r>
    </w:p>
  </w:footnote>
  <w:footnote w:id="2">
    <w:p>
      <w:pPr>
        <w:pStyle w:val="7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武小东.《立足高考真题 实现科学复习——从2016年全国新课标Ⅰ卷谈政治复习》[J].教育文汇.2017-01-10 。</w:t>
      </w:r>
    </w:p>
  </w:footnote>
  <w:footnote w:id="3">
    <w:p>
      <w:pPr>
        <w:pStyle w:val="7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徐蓝.《吴于廑先生的世界历史观与我的世界历史教学》[J].武汉大学学报（人文科学版）.2013-11-06 。</w:t>
      </w:r>
    </w:p>
    <w:p>
      <w:pPr>
        <w:pStyle w:val="7"/>
      </w:pPr>
    </w:p>
  </w:footnote>
  <w:footnote w:id="4">
    <w:p>
      <w:pPr>
        <w:pStyle w:val="7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陈建云.《</w:t>
      </w:r>
      <w:r>
        <w:t>高中历史教学中的史料实证与史学阅读</w:t>
      </w:r>
      <w:r>
        <w:rPr>
          <w:rFonts w:hint="eastAsia"/>
        </w:rPr>
        <w:t>》[J].江苏教育.2021-05-10 。</w:t>
      </w:r>
    </w:p>
    <w:p>
      <w:pPr>
        <w:pStyle w:val="7"/>
      </w:pPr>
    </w:p>
  </w:footnote>
  <w:footnote w:id="5">
    <w:p>
      <w:pPr>
        <w:pStyle w:val="7"/>
        <w:snapToGrid w:val="0"/>
        <w:rPr>
          <w:rFonts w:hint="default" w:eastAsiaTheme="minorEastAsia"/>
          <w:lang w:val="en-US" w:eastAsia="zh-CN"/>
        </w:rPr>
      </w:pPr>
      <w:r>
        <w:rPr>
          <w:rStyle w:val="11"/>
        </w:rPr>
        <w:footnoteRef/>
      </w:r>
      <w:r>
        <w:t xml:space="preserve"> </w:t>
      </w:r>
      <w:r>
        <w:rPr>
          <w:rFonts w:hint="eastAsia"/>
          <w:lang w:val="en-US" w:eastAsia="zh-CN"/>
        </w:rPr>
        <w:t xml:space="preserve"> 《普通高中历史课程标准》（2017年版2020年修订）</w:t>
      </w:r>
      <w:r>
        <w:rPr>
          <w:rFonts w:hint="eastAsia"/>
        </w:rPr>
        <w:t>[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].</w:t>
      </w:r>
      <w:r>
        <w:rPr>
          <w:rFonts w:hint="eastAsia"/>
          <w:lang w:val="en-US" w:eastAsia="zh-CN"/>
        </w:rPr>
        <w:t>人民教育出版社，2020</w:t>
      </w:r>
      <w:r>
        <w:rPr>
          <w:rFonts w:hint="eastAsia"/>
        </w:rPr>
        <w:t>-0</w:t>
      </w:r>
      <w:r>
        <w:rPr>
          <w:rFonts w:hint="eastAsia"/>
          <w:lang w:val="en-US" w:eastAsia="zh-CN"/>
        </w:rPr>
        <w:t>5：5</w:t>
      </w:r>
      <w:r>
        <w:rPr>
          <w:rFonts w:hint="eastAsia"/>
        </w:rPr>
        <w:t>。</w:t>
      </w:r>
    </w:p>
  </w:footnote>
  <w:footnote w:id="6">
    <w:p>
      <w:pPr>
        <w:pStyle w:val="7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刘建伦.《教材知识在高考试卷中的呈现及复习对策——以 2023 年新课标卷历史试题为例》[J].教学杂志，2024-01-30：29—33。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86AF1"/>
    <w:multiLevelType w:val="singleLevel"/>
    <w:tmpl w:val="11186A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E023D8"/>
    <w:multiLevelType w:val="multilevel"/>
    <w:tmpl w:val="4BE023D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528DBDA5"/>
    <w:multiLevelType w:val="singleLevel"/>
    <w:tmpl w:val="528DBDA5"/>
    <w:lvl w:ilvl="0" w:tentative="0">
      <w:start w:val="2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4"/>
    <w:footnote w:id="1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ZTA3ZDkyMzNlMGZlM2YyZGMyNjU4Mjc2Y2Q3NzUifQ=="/>
  </w:docVars>
  <w:rsids>
    <w:rsidRoot w:val="000C5349"/>
    <w:rsid w:val="00077A00"/>
    <w:rsid w:val="00083058"/>
    <w:rsid w:val="00086306"/>
    <w:rsid w:val="000A740B"/>
    <w:rsid w:val="000C0873"/>
    <w:rsid w:val="000C5349"/>
    <w:rsid w:val="000F2B5A"/>
    <w:rsid w:val="00110CDB"/>
    <w:rsid w:val="00130DA6"/>
    <w:rsid w:val="001702E8"/>
    <w:rsid w:val="00170B50"/>
    <w:rsid w:val="002534CF"/>
    <w:rsid w:val="00254D60"/>
    <w:rsid w:val="002627DC"/>
    <w:rsid w:val="00281A44"/>
    <w:rsid w:val="002D16FC"/>
    <w:rsid w:val="002E6219"/>
    <w:rsid w:val="00334502"/>
    <w:rsid w:val="003E4517"/>
    <w:rsid w:val="004735B8"/>
    <w:rsid w:val="00493AB0"/>
    <w:rsid w:val="00494689"/>
    <w:rsid w:val="004A6C80"/>
    <w:rsid w:val="0055174C"/>
    <w:rsid w:val="005635F6"/>
    <w:rsid w:val="0059175C"/>
    <w:rsid w:val="0061049F"/>
    <w:rsid w:val="00616CA7"/>
    <w:rsid w:val="00646107"/>
    <w:rsid w:val="006F5EA1"/>
    <w:rsid w:val="00712A78"/>
    <w:rsid w:val="00744546"/>
    <w:rsid w:val="00786C27"/>
    <w:rsid w:val="00790E42"/>
    <w:rsid w:val="00796180"/>
    <w:rsid w:val="0080470B"/>
    <w:rsid w:val="0082262E"/>
    <w:rsid w:val="00873372"/>
    <w:rsid w:val="00877521"/>
    <w:rsid w:val="009B1ADC"/>
    <w:rsid w:val="009B2196"/>
    <w:rsid w:val="00A31C9F"/>
    <w:rsid w:val="00A408E1"/>
    <w:rsid w:val="00A6740E"/>
    <w:rsid w:val="00A9793F"/>
    <w:rsid w:val="00AC1455"/>
    <w:rsid w:val="00B20017"/>
    <w:rsid w:val="00B242D3"/>
    <w:rsid w:val="00B36765"/>
    <w:rsid w:val="00B41D82"/>
    <w:rsid w:val="00BF2AA9"/>
    <w:rsid w:val="00BF7DB7"/>
    <w:rsid w:val="00C20794"/>
    <w:rsid w:val="00C3677A"/>
    <w:rsid w:val="00CC37AC"/>
    <w:rsid w:val="00CD3742"/>
    <w:rsid w:val="00D75539"/>
    <w:rsid w:val="00DE441D"/>
    <w:rsid w:val="00E4252F"/>
    <w:rsid w:val="00EA72D5"/>
    <w:rsid w:val="00EF0E2C"/>
    <w:rsid w:val="00F553D0"/>
    <w:rsid w:val="00F764BE"/>
    <w:rsid w:val="00F97415"/>
    <w:rsid w:val="00FB2183"/>
    <w:rsid w:val="00FB51CD"/>
    <w:rsid w:val="00FB5F6A"/>
    <w:rsid w:val="00FD2669"/>
    <w:rsid w:val="00FE4865"/>
    <w:rsid w:val="00FE7B27"/>
    <w:rsid w:val="07662AC3"/>
    <w:rsid w:val="0D2A5B21"/>
    <w:rsid w:val="0D957C69"/>
    <w:rsid w:val="25D710C6"/>
    <w:rsid w:val="2C701C77"/>
    <w:rsid w:val="3E2D7629"/>
    <w:rsid w:val="5E790516"/>
    <w:rsid w:val="63C65502"/>
    <w:rsid w:val="76A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5">
    <w:name w:val="标题 4 字符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AC49-7A26-4FE6-9CCC-1301797FF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1242</Words>
  <Characters>7083</Characters>
  <DocSecurity>0</DocSecurity>
  <Lines>59</Lines>
  <Paragraphs>16</Paragraphs>
  <ScaleCrop>false</ScaleCrop>
  <LinksUpToDate>false</LinksUpToDate>
  <CharactersWithSpaces>8309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2024-04-12T09:02:00Z</dcterms:created>
  <dcterms:modified xsi:type="dcterms:W3CDTF">2024-11-02T11:01:53Z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C9769FD783E448ECA3DBCF6BE2ED7806_13</vt:lpwstr>
  </property>
</Properties>
</file>